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28" w:rsidRDefault="00C81928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C1E97" w:rsidRPr="007C1E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2648717</wp:posOffset>
            </wp:positionH>
            <wp:positionV relativeFrom="paragraph">
              <wp:posOffset>-280703</wp:posOffset>
            </wp:positionV>
            <wp:extent cx="639362" cy="748145"/>
            <wp:effectExtent l="0" t="0" r="1905" b="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7C1E9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36EB8">
        <w:rPr>
          <w:rFonts w:ascii="Times New Roman" w:hAnsi="Times New Roman" w:cs="Times New Roman"/>
          <w:sz w:val="28"/>
          <w:szCs w:val="28"/>
        </w:rPr>
        <w:t xml:space="preserve">        </w:t>
      </w:r>
      <w:r w:rsidR="00396F37">
        <w:rPr>
          <w:rFonts w:ascii="Times New Roman" w:hAnsi="Times New Roman" w:cs="Times New Roman"/>
          <w:sz w:val="28"/>
          <w:szCs w:val="28"/>
        </w:rPr>
        <w:t xml:space="preserve"> </w:t>
      </w:r>
      <w:r w:rsidRPr="004C6222">
        <w:rPr>
          <w:rFonts w:ascii="Times New Roman" w:hAnsi="Times New Roman" w:cs="Times New Roman"/>
          <w:sz w:val="28"/>
          <w:szCs w:val="28"/>
        </w:rPr>
        <w:t xml:space="preserve">№ </w:t>
      </w:r>
      <w:r w:rsidR="00B36EB8">
        <w:rPr>
          <w:rFonts w:ascii="Times New Roman" w:hAnsi="Times New Roman" w:cs="Times New Roman"/>
          <w:sz w:val="28"/>
          <w:szCs w:val="28"/>
        </w:rPr>
        <w:t>01-44</w:t>
      </w:r>
      <w:r w:rsidR="007C1E9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C1E97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4C6222" w:rsidRDefault="00B36EB8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4C6222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15539F" w:rsidRDefault="004C6222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1E5F1C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4C6222">
        <w:rPr>
          <w:rFonts w:ascii="Times New Roman" w:hAnsi="Times New Roman" w:cs="Times New Roman"/>
          <w:sz w:val="28"/>
          <w:szCs w:val="28"/>
        </w:rPr>
        <w:t>льн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4C6222">
        <w:rPr>
          <w:rFonts w:ascii="Times New Roman" w:hAnsi="Times New Roman" w:cs="Times New Roman"/>
          <w:sz w:val="28"/>
          <w:szCs w:val="28"/>
        </w:rPr>
        <w:t>орган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>
        <w:rPr>
          <w:rFonts w:ascii="Times New Roman" w:hAnsi="Times New Roman" w:cs="Times New Roman"/>
          <w:sz w:val="28"/>
          <w:szCs w:val="28"/>
        </w:rPr>
        <w:t xml:space="preserve">– </w:t>
      </w:r>
      <w:r w:rsidR="003021E2">
        <w:rPr>
          <w:rFonts w:ascii="Times New Roman" w:hAnsi="Times New Roman" w:cs="Times New Roman"/>
          <w:sz w:val="28"/>
          <w:szCs w:val="28"/>
        </w:rPr>
        <w:t>Смоленский</w:t>
      </w:r>
      <w:r w:rsidR="00AD7E8C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4C6222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4C6222">
        <w:rPr>
          <w:rFonts w:ascii="Times New Roman" w:hAnsi="Times New Roman" w:cs="Times New Roman"/>
          <w:sz w:val="28"/>
          <w:szCs w:val="28"/>
        </w:rPr>
        <w:t>ративн</w:t>
      </w:r>
      <w:r w:rsidR="00686E38">
        <w:rPr>
          <w:rFonts w:ascii="Times New Roman" w:hAnsi="Times New Roman" w:cs="Times New Roman"/>
          <w:sz w:val="28"/>
          <w:szCs w:val="28"/>
        </w:rPr>
        <w:t>ый</w:t>
      </w:r>
      <w:r w:rsidR="00743A3A" w:rsidRPr="004C6222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4C6222" w:rsidRDefault="00FE565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48563D" w:rsidRDefault="004C6222" w:rsidP="004C6222">
      <w:pPr>
        <w:keepNext/>
        <w:keepLines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63D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ральным </w:t>
      </w:r>
      <w:r w:rsidRPr="0048563D">
        <w:rPr>
          <w:rFonts w:ascii="Times New Roman" w:hAnsi="Times New Roman" w:cs="Times New Roman"/>
          <w:sz w:val="28"/>
          <w:szCs w:val="28"/>
        </w:rPr>
        <w:t xml:space="preserve">законом от 20.03.2025 </w:t>
      </w:r>
      <w:r w:rsidR="001F7C4E">
        <w:rPr>
          <w:rFonts w:ascii="Times New Roman" w:hAnsi="Times New Roman" w:cs="Times New Roman"/>
          <w:sz w:val="28"/>
          <w:szCs w:val="28"/>
        </w:rPr>
        <w:t>№</w:t>
      </w:r>
      <w:r w:rsidRPr="0048563D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</w:t>
      </w:r>
      <w:r w:rsidR="00004F8C">
        <w:rPr>
          <w:rFonts w:ascii="Times New Roman" w:hAnsi="Times New Roman" w:cs="Times New Roman"/>
          <w:sz w:val="28"/>
          <w:szCs w:val="28"/>
        </w:rPr>
        <w:t xml:space="preserve">кутской области от 24.10.2024 № </w:t>
      </w:r>
      <w:bookmarkStart w:id="0" w:name="_GoBack"/>
      <w:bookmarkEnd w:id="0"/>
      <w:r w:rsidRPr="0048563D">
        <w:rPr>
          <w:rFonts w:ascii="Times New Roman" w:hAnsi="Times New Roman" w:cs="Times New Roman"/>
          <w:sz w:val="28"/>
          <w:szCs w:val="28"/>
        </w:rPr>
        <w:t>83-ОЗ «О</w:t>
      </w:r>
      <w:r w:rsidR="00A6671E">
        <w:rPr>
          <w:rFonts w:ascii="Times New Roman" w:hAnsi="Times New Roman" w:cs="Times New Roman"/>
          <w:sz w:val="28"/>
          <w:szCs w:val="28"/>
        </w:rPr>
        <w:t> </w:t>
      </w:r>
      <w:r w:rsidRPr="0048563D">
        <w:rPr>
          <w:rFonts w:ascii="Times New Roman" w:hAnsi="Times New Roman" w:cs="Times New Roman"/>
          <w:sz w:val="28"/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C82">
        <w:rPr>
          <w:rFonts w:ascii="Times New Roman" w:hAnsi="Times New Roman" w:cs="Times New Roman"/>
          <w:sz w:val="28"/>
          <w:szCs w:val="28"/>
        </w:rPr>
        <w:t>25.09.2025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 xml:space="preserve">№ </w:t>
      </w:r>
      <w:r w:rsidR="00F06C82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F06C8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06C82"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«</w:t>
      </w:r>
      <w:r w:rsidRPr="003A16E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16E5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48563D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48563D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827DCC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F93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DCC">
        <w:rPr>
          <w:rFonts w:ascii="Times New Roman" w:hAnsi="Times New Roman" w:cs="Times New Roman"/>
          <w:sz w:val="28"/>
          <w:szCs w:val="28"/>
        </w:rPr>
        <w:t>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>
        <w:rPr>
          <w:rFonts w:ascii="Times New Roman" w:hAnsi="Times New Roman" w:cs="Times New Roman"/>
          <w:sz w:val="28"/>
          <w:szCs w:val="28"/>
        </w:rPr>
        <w:t xml:space="preserve"> - </w:t>
      </w:r>
      <w:r w:rsidR="003021E2">
        <w:rPr>
          <w:rFonts w:ascii="Times New Roman" w:hAnsi="Times New Roman" w:cs="Times New Roman"/>
          <w:sz w:val="28"/>
          <w:szCs w:val="28"/>
        </w:rPr>
        <w:t>Смоленский</w:t>
      </w:r>
      <w:r w:rsidR="00C17FE3" w:rsidRPr="00827DCC">
        <w:rPr>
          <w:rFonts w:ascii="Times New Roman" w:hAnsi="Times New Roman" w:cs="Times New Roman"/>
          <w:sz w:val="28"/>
          <w:szCs w:val="28"/>
        </w:rPr>
        <w:t xml:space="preserve"> </w:t>
      </w:r>
      <w:r w:rsidRPr="00827DCC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222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6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D7E8C">
        <w:rPr>
          <w:rFonts w:ascii="Times New Roman" w:hAnsi="Times New Roman" w:cs="Times New Roman"/>
          <w:sz w:val="28"/>
          <w:szCs w:val="28"/>
        </w:rPr>
        <w:t xml:space="preserve">о </w:t>
      </w:r>
      <w:r w:rsidR="003021E2">
        <w:rPr>
          <w:rFonts w:ascii="Times New Roman" w:hAnsi="Times New Roman" w:cs="Times New Roman"/>
          <w:sz w:val="28"/>
          <w:szCs w:val="28"/>
        </w:rPr>
        <w:t>Смоленском</w:t>
      </w:r>
      <w:r w:rsidR="00246B61" w:rsidRPr="0048563D"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C82" w:rsidRDefault="00F06C82" w:rsidP="00F0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Смоленский</w:t>
      </w:r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C82" w:rsidRDefault="00F06C82" w:rsidP="00F06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Смоленский Административный округ.</w:t>
      </w:r>
    </w:p>
    <w:p w:rsidR="00004F8C" w:rsidRPr="00004F8C" w:rsidRDefault="00F06C82" w:rsidP="0000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8755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r>
        <w:rPr>
          <w:rFonts w:ascii="Times New Roman" w:hAnsi="Times New Roman" w:cs="Times New Roman"/>
          <w:sz w:val="28"/>
          <w:szCs w:val="28"/>
        </w:rPr>
        <w:t>Смоленского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</w:t>
      </w:r>
      <w:r w:rsidR="00004F8C" w:rsidRPr="00004F8C">
        <w:rPr>
          <w:rFonts w:ascii="Times New Roman" w:hAnsi="Times New Roman" w:cs="Times New Roman"/>
          <w:sz w:val="28"/>
          <w:szCs w:val="28"/>
        </w:rPr>
        <w:t xml:space="preserve">664519, </w:t>
      </w:r>
      <w:r w:rsidR="00004F8C" w:rsidRPr="00004F8C">
        <w:rPr>
          <w:rFonts w:ascii="Times New Roman" w:hAnsi="Times New Roman" w:cs="Times New Roman"/>
          <w:sz w:val="28"/>
          <w:szCs w:val="28"/>
          <w:shd w:val="clear" w:color="auto" w:fill="FFFFFF"/>
        </w:rPr>
        <w:t>Иркутская область, муниципальный район Иркутский, сельское поселение Смоленское, село Смоленщина, улица Заводская, дом 1</w:t>
      </w:r>
      <w:r w:rsidR="00004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C6222" w:rsidRPr="00004F8C">
        <w:rPr>
          <w:rFonts w:ascii="Times New Roman" w:hAnsi="Times New Roman" w:cs="Times New Roman"/>
          <w:sz w:val="28"/>
          <w:szCs w:val="28"/>
        </w:rPr>
        <w:tab/>
      </w:r>
    </w:p>
    <w:p w:rsidR="004C6222" w:rsidRPr="0048563D" w:rsidRDefault="00F06C82" w:rsidP="0000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4C6222">
        <w:rPr>
          <w:rFonts w:ascii="Times New Roman" w:hAnsi="Times New Roman" w:cs="Times New Roman"/>
          <w:sz w:val="28"/>
          <w:szCs w:val="28"/>
        </w:rPr>
        <w:t xml:space="preserve"> У</w:t>
      </w:r>
      <w:r w:rsidR="004C6222" w:rsidRPr="0048563D">
        <w:rPr>
          <w:rFonts w:ascii="Times New Roman" w:hAnsi="Times New Roman" w:cs="Times New Roman"/>
          <w:sz w:val="28"/>
          <w:szCs w:val="28"/>
        </w:rPr>
        <w:t>полномочить</w:t>
      </w:r>
      <w:r w:rsidR="00EE4965">
        <w:rPr>
          <w:rFonts w:ascii="Times New Roman" w:hAnsi="Times New Roman" w:cs="Times New Roman"/>
          <w:sz w:val="28"/>
          <w:szCs w:val="28"/>
        </w:rPr>
        <w:t xml:space="preserve"> </w:t>
      </w:r>
      <w:r w:rsidR="00EE4965" w:rsidRPr="00EE4965">
        <w:rPr>
          <w:rFonts w:ascii="Times New Roman" w:hAnsi="Times New Roman" w:cs="Times New Roman"/>
          <w:sz w:val="28"/>
          <w:szCs w:val="28"/>
        </w:rPr>
        <w:t xml:space="preserve">первого заместителя Мэра </w:t>
      </w:r>
      <w:r w:rsidR="00520061">
        <w:rPr>
          <w:rFonts w:ascii="Times New Roman" w:hAnsi="Times New Roman" w:cs="Times New Roman"/>
          <w:sz w:val="28"/>
          <w:szCs w:val="28"/>
        </w:rPr>
        <w:t xml:space="preserve"> </w:t>
      </w:r>
      <w:r w:rsidR="00A73D36">
        <w:rPr>
          <w:rFonts w:ascii="Times New Roman" w:hAnsi="Times New Roman" w:cs="Times New Roman"/>
          <w:sz w:val="28"/>
          <w:szCs w:val="28"/>
        </w:rPr>
        <w:t>Иркутского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Жука Игоря Владимировича</w:t>
      </w:r>
      <w:r w:rsidR="004C6222" w:rsidRPr="0048563D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комплекта документов и совершение иных действий, связанных с государственной регистрацией</w:t>
      </w:r>
      <w:r w:rsidR="00A6671E">
        <w:rPr>
          <w:rFonts w:ascii="Times New Roman" w:hAnsi="Times New Roman" w:cs="Times New Roman"/>
          <w:sz w:val="28"/>
          <w:szCs w:val="28"/>
        </w:rPr>
        <w:t>.</w:t>
      </w:r>
    </w:p>
    <w:p w:rsidR="004C6222" w:rsidRPr="0048563D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6C82">
        <w:rPr>
          <w:rFonts w:ascii="Times New Roman" w:hAnsi="Times New Roman" w:cs="Times New Roman"/>
          <w:sz w:val="28"/>
          <w:szCs w:val="28"/>
        </w:rPr>
        <w:t>6</w:t>
      </w:r>
      <w:r w:rsidRPr="0048563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48563D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6C82">
        <w:rPr>
          <w:rFonts w:ascii="Times New Roman" w:hAnsi="Times New Roman" w:cs="Times New Roman"/>
          <w:sz w:val="28"/>
          <w:szCs w:val="28"/>
        </w:rPr>
        <w:t>7</w:t>
      </w:r>
      <w:r w:rsidRPr="0048563D">
        <w:rPr>
          <w:rFonts w:ascii="Times New Roman" w:hAnsi="Times New Roman" w:cs="Times New Roman"/>
          <w:sz w:val="28"/>
          <w:szCs w:val="28"/>
        </w:rPr>
        <w:t>.</w:t>
      </w:r>
      <w:r w:rsidR="00A6671E"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>
        <w:rPr>
          <w:rFonts w:ascii="Times New Roman" w:hAnsi="Times New Roman" w:cs="Times New Roman"/>
          <w:sz w:val="28"/>
          <w:szCs w:val="28"/>
        </w:rPr>
        <w:t>-</w:t>
      </w:r>
      <w:r w:rsidRPr="0048563D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Pr="0048563D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48563D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Pr="0048563D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48563D" w:rsidRDefault="00F06C82" w:rsidP="00EE4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48563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311738" w:rsidRDefault="000870EE" w:rsidP="004C62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C1E97" w:rsidRPr="006F5A73" w:rsidTr="001B3154">
        <w:tc>
          <w:tcPr>
            <w:tcW w:w="4927" w:type="dxa"/>
          </w:tcPr>
          <w:p w:rsidR="007C1E97" w:rsidRPr="006F5A73" w:rsidRDefault="007C1E97" w:rsidP="001B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7C1E97" w:rsidRPr="006F5A73" w:rsidRDefault="007C1E97" w:rsidP="001B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7C1E97" w:rsidRPr="006F5A73" w:rsidRDefault="007C1E97" w:rsidP="001B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7C1E97" w:rsidRPr="006F5A73" w:rsidRDefault="007C1E97" w:rsidP="001B3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97" w:rsidRPr="006F5A73" w:rsidTr="001B3154">
        <w:tc>
          <w:tcPr>
            <w:tcW w:w="4927" w:type="dxa"/>
          </w:tcPr>
          <w:p w:rsidR="007C1E97" w:rsidRPr="006F5A73" w:rsidRDefault="007C1E97" w:rsidP="001B31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7C1E97" w:rsidRPr="006F5A73" w:rsidRDefault="007C1E97" w:rsidP="001B31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</w:tbl>
    <w:p w:rsidR="00A6671E" w:rsidRDefault="00A6671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F37" w:rsidRDefault="00396F37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E" w:rsidRDefault="00A6671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D05A1B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15539F" w:rsidRDefault="00D05A1B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№01-44/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  <w:r w:rsidR="0015539F">
        <w:rPr>
          <w:rFonts w:ascii="Times New Roman" w:hAnsi="Times New Roman"/>
          <w:sz w:val="28"/>
          <w:szCs w:val="28"/>
        </w:rPr>
        <w:t xml:space="preserve"> </w:t>
      </w:r>
    </w:p>
    <w:p w:rsidR="0015539F" w:rsidRDefault="0015539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5A1B">
        <w:rPr>
          <w:rFonts w:ascii="Times New Roman" w:hAnsi="Times New Roman" w:cs="Times New Roman"/>
          <w:sz w:val="28"/>
          <w:szCs w:val="28"/>
        </w:rPr>
        <w:t>т 25.09.2025</w:t>
      </w:r>
      <w:r w:rsidR="008271F1">
        <w:rPr>
          <w:rFonts w:ascii="Times New Roman" w:hAnsi="Times New Roman" w:cs="Times New Roman"/>
          <w:sz w:val="28"/>
          <w:szCs w:val="28"/>
        </w:rPr>
        <w:t>г.</w:t>
      </w:r>
    </w:p>
    <w:p w:rsidR="0015539F" w:rsidRDefault="0015539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AD7E8C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021E2">
        <w:rPr>
          <w:rFonts w:ascii="Times New Roman" w:hAnsi="Times New Roman" w:cs="Times New Roman"/>
          <w:b/>
          <w:sz w:val="28"/>
          <w:szCs w:val="28"/>
        </w:rPr>
        <w:t>СМОЛЕНСКОМ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021E2">
        <w:rPr>
          <w:rFonts w:ascii="Times New Roman" w:hAnsi="Times New Roman" w:cs="Times New Roman"/>
          <w:sz w:val="28"/>
          <w:szCs w:val="28"/>
        </w:rPr>
        <w:t>Смоленский</w:t>
      </w:r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021E2">
        <w:rPr>
          <w:rFonts w:ascii="Times New Roman" w:hAnsi="Times New Roman" w:cs="Times New Roman"/>
          <w:sz w:val="28"/>
          <w:szCs w:val="28"/>
        </w:rPr>
        <w:t>Смоленского</w:t>
      </w:r>
      <w:r w:rsidR="003021E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D164E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003167" w:rsidRPr="00003167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8D164E">
        <w:rPr>
          <w:rFonts w:ascii="Times New Roman" w:hAnsi="Times New Roman" w:cs="Times New Roman"/>
          <w:sz w:val="28"/>
          <w:szCs w:val="28"/>
        </w:rPr>
        <w:t xml:space="preserve">- </w:t>
      </w:r>
      <w:r w:rsidR="00003167" w:rsidRPr="00003167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003167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021E2">
        <w:rPr>
          <w:rFonts w:ascii="Times New Roman" w:hAnsi="Times New Roman" w:cs="Times New Roman"/>
          <w:sz w:val="28"/>
          <w:szCs w:val="28"/>
        </w:rPr>
        <w:t>Смоленский</w:t>
      </w:r>
      <w:r w:rsidR="003021E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827E8E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021E2">
        <w:rPr>
          <w:rFonts w:ascii="Times New Roman" w:hAnsi="Times New Roman" w:cs="Times New Roman"/>
          <w:sz w:val="28"/>
          <w:szCs w:val="28"/>
        </w:rPr>
        <w:t>Смоленский</w:t>
      </w:r>
      <w:r w:rsidR="00AD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004F8C" w:rsidRPr="00004F8C" w:rsidRDefault="002F3E8F" w:rsidP="0000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004F8C" w:rsidRPr="00004F8C">
        <w:rPr>
          <w:rFonts w:ascii="Times New Roman" w:hAnsi="Times New Roman" w:cs="Times New Roman"/>
          <w:sz w:val="28"/>
          <w:szCs w:val="28"/>
        </w:rPr>
        <w:t xml:space="preserve">664519, </w:t>
      </w:r>
      <w:r w:rsidR="00004F8C" w:rsidRPr="00004F8C">
        <w:rPr>
          <w:rFonts w:ascii="Times New Roman" w:hAnsi="Times New Roman" w:cs="Times New Roman"/>
          <w:sz w:val="28"/>
          <w:szCs w:val="28"/>
          <w:shd w:val="clear" w:color="auto" w:fill="FFFFFF"/>
        </w:rPr>
        <w:t>Иркутская область, муниципальный район Иркутский, сельское поселение Смоленское, село Смоленщина, улица Заводская, дом 1</w:t>
      </w:r>
      <w:r w:rsidR="00004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4F8C" w:rsidRPr="00004F8C">
        <w:rPr>
          <w:rFonts w:ascii="Times New Roman" w:hAnsi="Times New Roman" w:cs="Times New Roman"/>
          <w:sz w:val="28"/>
          <w:szCs w:val="28"/>
        </w:rPr>
        <w:tab/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004F8C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004F8C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004F8C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004F8C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004F8C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550AD7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550AD7" w:rsidRPr="004C6222" w:rsidRDefault="00AC6B2D" w:rsidP="00550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0AD7" w:rsidRPr="00550AD7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0014E3" w:rsidRPr="000014E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0014E3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4E3"/>
    <w:rsid w:val="00001A40"/>
    <w:rsid w:val="00001EAD"/>
    <w:rsid w:val="00003167"/>
    <w:rsid w:val="00004F8C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870EE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3C01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0F88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1F7C4E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1E2"/>
    <w:rsid w:val="00302ED4"/>
    <w:rsid w:val="00306349"/>
    <w:rsid w:val="00310420"/>
    <w:rsid w:val="00312802"/>
    <w:rsid w:val="00316615"/>
    <w:rsid w:val="00316D34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6F37"/>
    <w:rsid w:val="00397F1B"/>
    <w:rsid w:val="00397F46"/>
    <w:rsid w:val="003B4B6A"/>
    <w:rsid w:val="003C0659"/>
    <w:rsid w:val="003C2912"/>
    <w:rsid w:val="003C327F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0061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0AD7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658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1E97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271F1"/>
    <w:rsid w:val="00827E8E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5583"/>
    <w:rsid w:val="008A7110"/>
    <w:rsid w:val="008B0869"/>
    <w:rsid w:val="008B24A9"/>
    <w:rsid w:val="008B6E1E"/>
    <w:rsid w:val="008B77CE"/>
    <w:rsid w:val="008C3156"/>
    <w:rsid w:val="008C36E6"/>
    <w:rsid w:val="008D164E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3D36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6EB8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356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1928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05A1B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E4965"/>
    <w:rsid w:val="00EF21EB"/>
    <w:rsid w:val="00EF40CD"/>
    <w:rsid w:val="00EF44C8"/>
    <w:rsid w:val="00F02510"/>
    <w:rsid w:val="00F06C82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C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5003-7DC6-4907-B88C-A0E44CA5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24</cp:revision>
  <cp:lastPrinted>2025-10-02T02:14:00Z</cp:lastPrinted>
  <dcterms:created xsi:type="dcterms:W3CDTF">2025-09-18T08:22:00Z</dcterms:created>
  <dcterms:modified xsi:type="dcterms:W3CDTF">2025-10-02T04:22:00Z</dcterms:modified>
</cp:coreProperties>
</file>