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531F">
      <w:pPr>
        <w:ind w:right="70"/>
        <w:jc w:val="center"/>
        <w:rPr>
          <w:b/>
          <w:sz w:val="20"/>
          <w:szCs w:val="20"/>
        </w:rPr>
      </w:pPr>
    </w:p>
    <w:p w14:paraId="6867E786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14:paraId="1862C859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6393ED30">
      <w:pPr>
        <w:autoSpaceDE w:val="0"/>
        <w:jc w:val="center"/>
        <w:rPr>
          <w:sz w:val="28"/>
          <w:szCs w:val="28"/>
        </w:rPr>
      </w:pPr>
    </w:p>
    <w:tbl>
      <w:tblPr>
        <w:tblStyle w:val="10"/>
        <w:tblW w:w="9540" w:type="dxa"/>
        <w:tblInd w:w="-149" w:type="dxa"/>
        <w:tblLayout w:type="fixed"/>
        <w:tblCellMar>
          <w:top w:w="0" w:type="dxa"/>
          <w:left w:w="31" w:type="dxa"/>
          <w:bottom w:w="0" w:type="dxa"/>
          <w:right w:w="31" w:type="dxa"/>
        </w:tblCellMar>
      </w:tblPr>
      <w:tblGrid>
        <w:gridCol w:w="38"/>
        <w:gridCol w:w="6494"/>
        <w:gridCol w:w="709"/>
        <w:gridCol w:w="1417"/>
        <w:gridCol w:w="870"/>
      </w:tblGrid>
      <w:tr w14:paraId="4BB7D624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185" w:hRule="atLeast"/>
        </w:trPr>
        <w:tc>
          <w:tcPr>
            <w:tcW w:w="9540" w:type="dxa"/>
            <w:gridSpan w:val="5"/>
            <w:tcBorders>
              <w:bottom w:val="single" w:color="000000" w:sz="4" w:space="0"/>
            </w:tcBorders>
          </w:tcPr>
          <w:p w14:paraId="4A6A8E88">
            <w:pPr>
              <w:keepNext/>
              <w:numPr>
                <w:ilvl w:val="0"/>
                <w:numId w:val="0"/>
              </w:numPr>
              <w:autoSpaceDE w:val="0"/>
              <w:jc w:val="center"/>
              <w:outlineLvl w:val="0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</w:rPr>
              <w:t>Агафонова Ираида Николаевн</w:t>
            </w:r>
            <w:r>
              <w:rPr>
                <w:rFonts w:hint="default"/>
                <w:sz w:val="22"/>
                <w:szCs w:val="22"/>
                <w:lang w:val="ru-RU"/>
              </w:rPr>
              <w:t>а</w:t>
            </w:r>
          </w:p>
        </w:tc>
      </w:tr>
      <w:tr w14:paraId="5F599E22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433" w:hRule="atLeast"/>
        </w:trPr>
        <w:tc>
          <w:tcPr>
            <w:tcW w:w="9540" w:type="dxa"/>
            <w:gridSpan w:val="5"/>
          </w:tcPr>
          <w:p w14:paraId="6DB1C1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14:paraId="5229E268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80" w:hRule="atLeast"/>
        </w:trPr>
        <w:tc>
          <w:tcPr>
            <w:tcW w:w="9540" w:type="dxa"/>
            <w:gridSpan w:val="5"/>
            <w:tcBorders>
              <w:bottom w:val="single" w:color="000000" w:sz="4" w:space="0"/>
            </w:tcBorders>
          </w:tcPr>
          <w:p w14:paraId="62F94A56">
            <w:pPr>
              <w:pStyle w:val="2"/>
              <w:shd w:val="clear" w:fill="FFFFFF"/>
              <w:ind w:left="0" w:firstLine="0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Одномандатный избирательный округ №</w:t>
            </w:r>
            <w:r>
              <w:rPr>
                <w:rFonts w:hint="default"/>
                <w:sz w:val="22"/>
                <w:szCs w:val="22"/>
                <w:lang w:val="ru-RU"/>
              </w:rPr>
              <w:t>25</w:t>
            </w:r>
            <w:r>
              <w:rPr>
                <w:rFonts w:hint="default"/>
                <w:sz w:val="22"/>
                <w:szCs w:val="22"/>
              </w:rPr>
              <w:t xml:space="preserve">, </w:t>
            </w:r>
          </w:p>
          <w:p w14:paraId="2B78F593">
            <w:pPr>
              <w:pStyle w:val="2"/>
              <w:shd w:val="clear" w:fill="FFFFFF"/>
              <w:ind w:left="0" w:firstLine="0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Выборы депутатов Думы Иркутского муниципального округа Иркутской области первого созыва</w:t>
            </w:r>
          </w:p>
          <w:p w14:paraId="64726A09">
            <w:pPr>
              <w:rPr>
                <w:sz w:val="22"/>
                <w:szCs w:val="22"/>
              </w:rPr>
            </w:pPr>
          </w:p>
        </w:tc>
      </w:tr>
      <w:tr w14:paraId="6AA90E12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18" w:hRule="atLeast"/>
        </w:trPr>
        <w:tc>
          <w:tcPr>
            <w:tcW w:w="9540" w:type="dxa"/>
            <w:gridSpan w:val="5"/>
          </w:tcPr>
          <w:p w14:paraId="5DB4654F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3CC0E56D">
            <w:pPr>
              <w:ind w:right="-185"/>
              <w:jc w:val="center"/>
              <w:rPr>
                <w:rFonts w:hint="default"/>
                <w:sz w:val="22"/>
                <w:szCs w:val="22"/>
              </w:rPr>
            </w:pPr>
          </w:p>
          <w:p w14:paraId="2E7254F8">
            <w:pPr>
              <w:ind w:right="-185"/>
              <w:jc w:val="center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№   40810810918750000096, структурное подразделение № 8586/092 Байкальский банк ПАО Сбербанк по адресу: г. Иркутск, ул. Урицкого, д. 19</w:t>
            </w:r>
          </w:p>
          <w:p w14:paraId="1FBA6CC0">
            <w:pPr>
              <w:ind w:right="-185"/>
              <w:jc w:val="center"/>
              <w:rPr>
                <w:rFonts w:hint="default"/>
                <w:sz w:val="22"/>
                <w:szCs w:val="22"/>
              </w:rPr>
            </w:pPr>
          </w:p>
          <w:p w14:paraId="318BC2E2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11"/>
                <w:rFonts w:ascii="Symbol" w:hAnsi="Symbol" w:eastAsia="Symbol" w:cs="Symbol"/>
                <w:sz w:val="16"/>
                <w:szCs w:val="20"/>
                <w:vertAlign w:val="superscript"/>
              </w:rPr>
              <w:footnoteReference w:id="0" w:customMarkFollows="1"/>
              <w:t></w:t>
            </w:r>
          </w:p>
          <w:p w14:paraId="237CB86F">
            <w:pPr>
              <w:jc w:val="center"/>
              <w:rPr>
                <w:sz w:val="16"/>
                <w:szCs w:val="16"/>
              </w:rPr>
            </w:pPr>
          </w:p>
        </w:tc>
      </w:tr>
      <w:tr w14:paraId="67B46C0C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trHeight w:val="218" w:hRule="atLeast"/>
        </w:trPr>
        <w:tc>
          <w:tcPr>
            <w:tcW w:w="9540" w:type="dxa"/>
            <w:gridSpan w:val="5"/>
          </w:tcPr>
          <w:p w14:paraId="2597B0F7">
            <w:pPr>
              <w:snapToGrid w:val="0"/>
              <w:ind w:right="-185"/>
              <w:jc w:val="center"/>
              <w:rPr>
                <w:sz w:val="16"/>
                <w:szCs w:val="20"/>
              </w:rPr>
            </w:pPr>
          </w:p>
        </w:tc>
      </w:tr>
      <w:tr w14:paraId="540E15F8">
        <w:tblPrEx>
          <w:tblCellMar>
            <w:top w:w="0" w:type="dxa"/>
            <w:left w:w="31" w:type="dxa"/>
            <w:bottom w:w="0" w:type="dxa"/>
            <w:right w:w="31" w:type="dxa"/>
          </w:tblCellMar>
        </w:tblPrEx>
        <w:trPr>
          <w:cantSplit/>
          <w:trHeight w:val="509" w:hRule="atLeast"/>
        </w:trPr>
        <w:tc>
          <w:tcPr>
            <w:tcW w:w="38" w:type="dxa"/>
            <w:tcMar>
              <w:left w:w="0" w:type="dxa"/>
              <w:right w:w="0" w:type="dxa"/>
            </w:tcMar>
          </w:tcPr>
          <w:p w14:paraId="11FBE7E3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</w:tcPr>
          <w:p w14:paraId="47409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</w:tcPr>
          <w:p w14:paraId="391F6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</w:tcPr>
          <w:p w14:paraId="20FB5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right w:w="30" w:type="dxa"/>
            </w:tcMar>
          </w:tcPr>
          <w:p w14:paraId="625CF1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чание</w:t>
            </w:r>
          </w:p>
        </w:tc>
      </w:tr>
    </w:tbl>
    <w:p w14:paraId="1FCB19F6">
      <w:pPr>
        <w:rPr>
          <w:sz w:val="2"/>
          <w:szCs w:val="2"/>
        </w:rPr>
      </w:pPr>
    </w:p>
    <w:tbl>
      <w:tblPr>
        <w:tblStyle w:val="10"/>
        <w:tblW w:w="9490" w:type="dxa"/>
        <w:tblInd w:w="-11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68"/>
        <w:gridCol w:w="5926"/>
        <w:gridCol w:w="709"/>
        <w:gridCol w:w="1417"/>
        <w:gridCol w:w="870"/>
      </w:tblGrid>
      <w:tr w14:paraId="0F90D7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blHeader/>
        </w:trPr>
        <w:tc>
          <w:tcPr>
            <w:tcW w:w="6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E0A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037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ED0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5A14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14:paraId="522F18F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AFC7D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F105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42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6200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ACF4C1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14:paraId="19945A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7A9B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том числе</w:t>
            </w:r>
          </w:p>
        </w:tc>
      </w:tr>
      <w:tr w14:paraId="565ECC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700A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D04265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BB4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EE1B7D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C8756F4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2B3E0D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773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из них</w:t>
            </w:r>
          </w:p>
        </w:tc>
      </w:tr>
      <w:tr w14:paraId="1A61A3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1E6E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32F8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D5F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BE98C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243764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1C7E49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E3324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B4FE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4D33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376CB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0DF04F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0238DFB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5C0A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E3289B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7B5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DD697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E57EDC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60012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0D440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1.1.4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D90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2E3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6A52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0B65DF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51D2CA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3230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D4D9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50D7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1C8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ADCA3C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6C0F68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4B49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из них</w:t>
            </w:r>
          </w:p>
        </w:tc>
      </w:tr>
      <w:tr w14:paraId="6B1772A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6209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501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E030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372F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A1BBFA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43DA1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55D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B1F11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318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A401B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5A086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4CB6BC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2EDFD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8BC86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A52D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B2911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A4BBF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039E68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6BCF4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1.2.4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778B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0E0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63F8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FC3BBB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A6603F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07244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049D9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E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50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D66488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5013DC7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A448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том числе</w:t>
            </w:r>
          </w:p>
        </w:tc>
      </w:tr>
      <w:tr w14:paraId="366981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44F8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DF739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27B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EB6C9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4F062F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5AF4734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DA06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7815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10D2ED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49AF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F16ADC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4C3733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7A26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из них</w:t>
            </w:r>
          </w:p>
        </w:tc>
      </w:tr>
      <w:tr w14:paraId="0DBC23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E25B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22E3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F957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7D24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4386DC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061CE6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18A2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053685"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EA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7F42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C4A4ECE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BFB4D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D8455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90E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46AC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F5D7F2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33B64D9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7A7A75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77624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2CA1D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8744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5B3B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5FDFF4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7E27FB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1651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5270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4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26FFA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300 000,00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4393604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7C4E2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9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E7E5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том числе</w:t>
            </w:r>
          </w:p>
        </w:tc>
      </w:tr>
      <w:tr w14:paraId="0FD5E1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27C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59A9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6DC6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1051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DA82590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64F14C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CA6A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3.1.1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01EA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C37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9F25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6BC145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4C02737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08A4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E104E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039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88F42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8D3EEB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553A35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BAC6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472D3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предвыборную агитацию через редакции периодических печатных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изданий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360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1AC9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A8E536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382D5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22768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70CBE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3435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DE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6 150,00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E7ED1F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3BF96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03421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F8E0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F7D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9EF0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59560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353CA5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0CB019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C394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7A98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C1A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0FD504">
            <w:pPr>
              <w:jc w:val="right"/>
              <w:rPr>
                <w:rFonts w:hint="default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0</w:t>
            </w:r>
            <w:bookmarkStart w:id="0" w:name="_GoBack"/>
            <w:bookmarkEnd w:id="0"/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F6D9B86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09F0F36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B5E3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612D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6C1A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46F4A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149500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3A1E78C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52EB55F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EF66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D2B07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8D9D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D7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84790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D9C1C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1B1B12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4265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F0970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6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95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E78760B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4DB2647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9DA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7921F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B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54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2D04C56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0B1ECA4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6002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535CC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b/>
                <w:bCs/>
                <w:sz w:val="20"/>
                <w:szCs w:val="20"/>
              </w:rPr>
            </w:pPr>
            <w:r>
              <w:rPr>
                <w:rStyle w:val="65"/>
                <w:rFonts w:eastAsia="SimSun"/>
                <w:sz w:val="24"/>
                <w:szCs w:val="24"/>
                <w:lang w:val="en-US" w:eastAsia="zh-CN" w:bidi="ar"/>
              </w:rPr>
              <w:t>Остаток средств фонда на дату сдачи отчета (заверяется банковской справкой</w:t>
            </w:r>
            <w:r>
              <w:rPr>
                <w:rStyle w:val="66"/>
                <w:rFonts w:eastAsia="SimSun"/>
                <w:sz w:val="24"/>
                <w:szCs w:val="24"/>
                <w:lang w:val="en-US" w:eastAsia="zh-CN" w:bidi="ar"/>
              </w:rPr>
              <w:t>)</w:t>
            </w:r>
            <w:r>
              <w:rPr>
                <w:rStyle w:val="67"/>
                <w:rFonts w:eastAsia="SimSu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8"/>
                <w:rFonts w:eastAsia="SimSun"/>
                <w:sz w:val="24"/>
                <w:szCs w:val="24"/>
                <w:lang w:val="en-US" w:eastAsia="zh-CN"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7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CD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67B93D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4B70DDA">
      <w:pPr>
        <w:rPr>
          <w:b/>
          <w:sz w:val="20"/>
          <w:szCs w:val="20"/>
        </w:rPr>
      </w:pPr>
    </w:p>
    <w:p w14:paraId="5F2FA227">
      <w:pPr>
        <w:ind w:right="0"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1F571B26">
      <w:pPr>
        <w:jc w:val="both"/>
        <w:rPr>
          <w:sz w:val="20"/>
          <w:szCs w:val="20"/>
        </w:rPr>
      </w:pPr>
    </w:p>
    <w:p w14:paraId="372E8823">
      <w:pPr>
        <w:rPr>
          <w:sz w:val="20"/>
          <w:szCs w:val="20"/>
        </w:rPr>
      </w:pPr>
    </w:p>
    <w:tbl>
      <w:tblPr>
        <w:tblStyle w:val="10"/>
        <w:tblW w:w="95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239"/>
        <w:gridCol w:w="2281"/>
        <w:gridCol w:w="239"/>
        <w:gridCol w:w="2440"/>
      </w:tblGrid>
      <w:tr w14:paraId="73A8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371" w:type="dxa"/>
          </w:tcPr>
          <w:p w14:paraId="740B5398">
            <w:pPr>
              <w:widowControl w:val="0"/>
              <w:snapToGrid w:val="0"/>
              <w:jc w:val="both"/>
              <w:rPr>
                <w:color w:val="000000"/>
              </w:rPr>
            </w:pPr>
          </w:p>
          <w:p w14:paraId="6D1D5B8D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14:paraId="7A1ED843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color="000000" w:sz="4" w:space="0"/>
            </w:tcBorders>
          </w:tcPr>
          <w:p w14:paraId="058E47B8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14:paraId="2564787E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color="000000" w:sz="4" w:space="0"/>
            </w:tcBorders>
          </w:tcPr>
          <w:p w14:paraId="1771FFE7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14:paraId="5142F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1" w:type="dxa"/>
          </w:tcPr>
          <w:p w14:paraId="5CAF92A6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1836696E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color="000000" w:sz="4" w:space="0"/>
            </w:tcBorders>
          </w:tcPr>
          <w:p w14:paraId="6420723E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14:paraId="3E8BEB88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color="000000" w:sz="4" w:space="0"/>
              <w:bottom w:val="single" w:color="000000" w:sz="4" w:space="0"/>
            </w:tcBorders>
          </w:tcPr>
          <w:p w14:paraId="089C71FA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14:paraId="7A13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1" w:type="dxa"/>
          </w:tcPr>
          <w:p w14:paraId="08E24AD5">
            <w:pPr>
              <w:widowControl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14:paraId="3A976664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14:paraId="0CB624B3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14:paraId="354CBF60">
            <w:pPr>
              <w:widowControl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color="000000" w:sz="4" w:space="0"/>
            </w:tcBorders>
          </w:tcPr>
          <w:p w14:paraId="4B1CAC3F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744CEE68">
      <w:pPr>
        <w:rPr>
          <w:sz w:val="20"/>
          <w:szCs w:val="20"/>
        </w:rPr>
      </w:pPr>
    </w:p>
    <w:sectPr>
      <w:footerReference r:id="rId4" w:type="default"/>
      <w:footnotePr>
        <w:numFmt w:val="decimal"/>
      </w:footnotePr>
      <w:pgSz w:w="11906" w:h="16838"/>
      <w:pgMar w:top="1134" w:right="851" w:bottom="1190" w:left="1701" w:header="0" w:footer="1134" w:gutter="0"/>
      <w:pgNumType w:fmt="decimal" w:start="36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9145B">
    <w:pPr>
      <w:pStyle w:val="2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71022A2">
      <w:pPr>
        <w:pStyle w:val="17"/>
        <w:ind w:right="0" w:firstLine="720"/>
      </w:pPr>
      <w:r>
        <w:rPr>
          <w:rStyle w:val="33"/>
        </w:rPr>
        <w:t></w:t>
      </w:r>
      <w:r>
        <w:rPr>
          <w:sz w:val="16"/>
          <w:szCs w:val="16"/>
        </w:rPr>
        <w:t xml:space="preserve"> 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2"/>
    <w:footnote w:id="3"/>
  </w:foot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B7C51"/>
    <w:rsid w:val="2F367886"/>
    <w:rsid w:val="5F077D52"/>
    <w:rsid w:val="79E92C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autoSpaceDE w:val="0"/>
      <w:jc w:val="center"/>
      <w:outlineLvl w:val="0"/>
    </w:p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2"/>
      <w:szCs w:val="22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autoSpaceDE w:val="0"/>
      <w:jc w:val="center"/>
      <w:outlineLvl w:val="2"/>
    </w:pPr>
    <w:rPr>
      <w:b/>
      <w:bCs/>
      <w:sz w:val="20"/>
      <w:szCs w:val="20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autoSpaceDE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6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7">
    <w:name w:val="heading 6"/>
    <w:basedOn w:val="1"/>
    <w:next w:val="1"/>
    <w:qFormat/>
    <w:uiPriority w:val="0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8">
    <w:name w:val="heading 7"/>
    <w:basedOn w:val="1"/>
    <w:next w:val="1"/>
    <w:qFormat/>
    <w:uiPriority w:val="0"/>
    <w:pPr>
      <w:keepNext/>
      <w:numPr>
        <w:ilvl w:val="6"/>
        <w:numId w:val="1"/>
      </w:numPr>
      <w:ind w:left="3240" w:right="-1" w:firstLine="0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otnote reference"/>
    <w:qFormat/>
    <w:uiPriority w:val="0"/>
    <w:rPr>
      <w:vertAlign w:val="superscript"/>
    </w:rPr>
  </w:style>
  <w:style w:type="character" w:styleId="12">
    <w:name w:val="endnote reference"/>
    <w:uiPriority w:val="0"/>
    <w:rPr>
      <w:vertAlign w:val="superscript"/>
    </w:rPr>
  </w:style>
  <w:style w:type="character" w:styleId="13">
    <w:name w:val="page number"/>
    <w:basedOn w:val="14"/>
    <w:qFormat/>
    <w:uiPriority w:val="0"/>
  </w:style>
  <w:style w:type="character" w:customStyle="1" w:styleId="14">
    <w:name w:val="Основной шрифт абзаца1"/>
    <w:qFormat/>
    <w:uiPriority w:val="0"/>
  </w:style>
  <w:style w:type="paragraph" w:styleId="15">
    <w:name w:val="Body Text Indent 3"/>
    <w:basedOn w:val="1"/>
    <w:qFormat/>
    <w:uiPriority w:val="0"/>
    <w:pPr>
      <w:ind w:left="4678" w:right="0" w:firstLine="0"/>
      <w:jc w:val="center"/>
    </w:pPr>
    <w:rPr>
      <w:sz w:val="20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17">
    <w:name w:val="footnote text"/>
    <w:basedOn w:val="1"/>
    <w:qFormat/>
    <w:uiPriority w:val="0"/>
    <w:rPr>
      <w:sz w:val="20"/>
      <w:szCs w:val="20"/>
    </w:rPr>
  </w:style>
  <w:style w:type="paragraph" w:styleId="18">
    <w:name w:val="header"/>
    <w:basedOn w:val="1"/>
    <w:qFormat/>
    <w:uiPriority w:val="0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19">
    <w:name w:val="Body Text"/>
    <w:basedOn w:val="1"/>
    <w:qFormat/>
    <w:uiPriority w:val="0"/>
    <w:pPr>
      <w:jc w:val="both"/>
    </w:pPr>
    <w:rPr>
      <w:sz w:val="28"/>
    </w:rPr>
  </w:style>
  <w:style w:type="paragraph" w:styleId="20">
    <w:name w:val="Body Text Indent"/>
    <w:basedOn w:val="1"/>
    <w:qFormat/>
    <w:uiPriority w:val="0"/>
    <w:pPr>
      <w:ind w:left="0" w:right="0" w:firstLine="708"/>
      <w:jc w:val="both"/>
    </w:pPr>
    <w:rPr>
      <w:sz w:val="28"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22">
    <w:name w:val="List"/>
    <w:basedOn w:val="19"/>
    <w:qFormat/>
    <w:uiPriority w:val="0"/>
  </w:style>
  <w:style w:type="paragraph" w:styleId="23">
    <w:name w:val="Body Text 3"/>
    <w:basedOn w:val="1"/>
    <w:qFormat/>
    <w:uiPriority w:val="0"/>
    <w:pPr>
      <w:keepLines/>
      <w:pageBreakBefore/>
      <w:jc w:val="both"/>
    </w:pPr>
    <w:rPr>
      <w:sz w:val="20"/>
      <w:szCs w:val="20"/>
    </w:rPr>
  </w:style>
  <w:style w:type="paragraph" w:styleId="24">
    <w:name w:val="Body Text Indent 2"/>
    <w:basedOn w:val="1"/>
    <w:qFormat/>
    <w:uiPriority w:val="0"/>
    <w:pPr>
      <w:ind w:left="0" w:right="0" w:firstLine="709"/>
      <w:jc w:val="both"/>
    </w:pPr>
    <w:rPr>
      <w:szCs w:val="20"/>
    </w:rPr>
  </w:style>
  <w:style w:type="character" w:customStyle="1" w:styleId="25">
    <w:name w:val="WW8Num1z0"/>
    <w:qFormat/>
    <w:uiPriority w:val="0"/>
    <w:rPr>
      <w:rFonts w:ascii="Times New Roman" w:hAnsi="Times New Roman" w:eastAsia="Times New Roman" w:cs="Times New Roman"/>
    </w:rPr>
  </w:style>
  <w:style w:type="character" w:customStyle="1" w:styleId="26">
    <w:name w:val="WW8Num1z1"/>
    <w:qFormat/>
    <w:uiPriority w:val="0"/>
    <w:rPr>
      <w:rFonts w:ascii="Courier New" w:hAnsi="Courier New" w:cs="Courier New"/>
    </w:rPr>
  </w:style>
  <w:style w:type="character" w:customStyle="1" w:styleId="27">
    <w:name w:val="WW8Num1z2"/>
    <w:qFormat/>
    <w:uiPriority w:val="0"/>
    <w:rPr>
      <w:rFonts w:ascii="Wingdings" w:hAnsi="Wingdings" w:cs="Wingdings"/>
    </w:rPr>
  </w:style>
  <w:style w:type="character" w:customStyle="1" w:styleId="28">
    <w:name w:val="WW8Num1z3"/>
    <w:qFormat/>
    <w:uiPriority w:val="0"/>
    <w:rPr>
      <w:rFonts w:ascii="Symbol" w:hAnsi="Symbol" w:cs="Symbol"/>
    </w:rPr>
  </w:style>
  <w:style w:type="character" w:customStyle="1" w:styleId="29">
    <w:name w:val="WW8Num2z0"/>
    <w:qFormat/>
    <w:uiPriority w:val="0"/>
  </w:style>
  <w:style w:type="character" w:customStyle="1" w:styleId="30">
    <w:name w:val="Основной шрифт"/>
    <w:qFormat/>
    <w:uiPriority w:val="0"/>
  </w:style>
  <w:style w:type="character" w:customStyle="1" w:styleId="31">
    <w:name w:val="номер страницы"/>
    <w:basedOn w:val="14"/>
    <w:qFormat/>
    <w:uiPriority w:val="0"/>
  </w:style>
  <w:style w:type="character" w:customStyle="1" w:styleId="32">
    <w:name w:val="номер строки"/>
    <w:basedOn w:val="14"/>
    <w:qFormat/>
    <w:uiPriority w:val="0"/>
  </w:style>
  <w:style w:type="character" w:customStyle="1" w:styleId="33">
    <w:name w:val="Footnote Characters"/>
    <w:qFormat/>
    <w:uiPriority w:val="0"/>
    <w:rPr>
      <w:vertAlign w:val="superscript"/>
    </w:rPr>
  </w:style>
  <w:style w:type="character" w:customStyle="1" w:styleId="34">
    <w:name w:val="Основной текст с отступом Знак"/>
    <w:qFormat/>
    <w:uiPriority w:val="0"/>
    <w:rPr>
      <w:sz w:val="28"/>
      <w:szCs w:val="24"/>
    </w:rPr>
  </w:style>
  <w:style w:type="character" w:customStyle="1" w:styleId="35">
    <w:name w:val="Текст сноски Знак"/>
    <w:basedOn w:val="14"/>
    <w:qFormat/>
    <w:uiPriority w:val="0"/>
  </w:style>
  <w:style w:type="character" w:customStyle="1" w:styleId="36">
    <w:name w:val="Основной текст с отступом 2 Знак"/>
    <w:qFormat/>
    <w:uiPriority w:val="0"/>
    <w:rPr>
      <w:rFonts w:ascii="Arial" w:hAnsi="Arial" w:cs="Arial"/>
      <w:b/>
      <w:bCs/>
      <w:color w:val="0000FF"/>
      <w:sz w:val="22"/>
      <w:szCs w:val="24"/>
    </w:rPr>
  </w:style>
  <w:style w:type="character" w:customStyle="1" w:styleId="37">
    <w:name w:val="Знак примечания1"/>
    <w:qFormat/>
    <w:uiPriority w:val="0"/>
    <w:rPr>
      <w:sz w:val="16"/>
      <w:szCs w:val="16"/>
    </w:rPr>
  </w:style>
  <w:style w:type="character" w:customStyle="1" w:styleId="38">
    <w:name w:val="Endnote Characters"/>
    <w:qFormat/>
    <w:uiPriority w:val="0"/>
  </w:style>
  <w:style w:type="paragraph" w:customStyle="1" w:styleId="39">
    <w:name w:val="Heading"/>
    <w:basedOn w:val="1"/>
    <w:next w:val="19"/>
    <w:qFormat/>
    <w:uiPriority w:val="0"/>
    <w:pPr>
      <w:autoSpaceDE w:val="0"/>
      <w:jc w:val="center"/>
    </w:pPr>
    <w:rPr>
      <w:b/>
      <w:bCs/>
      <w:sz w:val="18"/>
      <w:szCs w:val="18"/>
    </w:rPr>
  </w:style>
  <w:style w:type="paragraph" w:customStyle="1" w:styleId="40">
    <w:name w:val="Index"/>
    <w:basedOn w:val="1"/>
    <w:qFormat/>
    <w:uiPriority w:val="0"/>
    <w:pPr>
      <w:suppressLineNumbers/>
    </w:pPr>
  </w:style>
  <w:style w:type="paragraph" w:customStyle="1" w:styleId="41">
    <w:name w:val="ConsTitle"/>
    <w:qFormat/>
    <w:uiPriority w:val="0"/>
    <w:pPr>
      <w:widowControl w:val="0"/>
      <w:suppressAutoHyphens/>
      <w:autoSpaceDE w:val="0"/>
      <w:bidi w:val="0"/>
    </w:pPr>
    <w:rPr>
      <w:rFonts w:ascii="Arial" w:hAnsi="Arial" w:eastAsia="Times New Roman" w:cs="Arial"/>
      <w:b/>
      <w:bCs/>
      <w:color w:val="auto"/>
      <w:sz w:val="16"/>
      <w:szCs w:val="16"/>
      <w:lang w:val="ru-RU" w:eastAsia="zh-CN" w:bidi="ar-SA"/>
    </w:rPr>
  </w:style>
  <w:style w:type="paragraph" w:customStyle="1" w:styleId="42">
    <w:name w:val="заголовок 1"/>
    <w:basedOn w:val="1"/>
    <w:next w:val="1"/>
    <w:qFormat/>
    <w:uiPriority w:val="0"/>
    <w:pPr>
      <w:keepNext/>
      <w:autoSpaceDE w:val="0"/>
      <w:jc w:val="center"/>
    </w:pPr>
  </w:style>
  <w:style w:type="paragraph" w:customStyle="1" w:styleId="43">
    <w:name w:val="заголовок 2"/>
    <w:basedOn w:val="1"/>
    <w:next w:val="1"/>
    <w:qFormat/>
    <w:uiPriority w:val="0"/>
    <w:pPr>
      <w:keepNext/>
      <w:autoSpaceDE w:val="0"/>
      <w:jc w:val="center"/>
    </w:pPr>
    <w:rPr>
      <w:b/>
      <w:bCs/>
      <w:sz w:val="22"/>
      <w:szCs w:val="22"/>
    </w:rPr>
  </w:style>
  <w:style w:type="paragraph" w:customStyle="1" w:styleId="44">
    <w:name w:val="заголовок 3"/>
    <w:basedOn w:val="1"/>
    <w:next w:val="1"/>
    <w:qFormat/>
    <w:uiPriority w:val="0"/>
    <w:pPr>
      <w:keepNext/>
      <w:autoSpaceDE w:val="0"/>
      <w:jc w:val="center"/>
    </w:pPr>
    <w:rPr>
      <w:b/>
      <w:bCs/>
      <w:sz w:val="20"/>
      <w:szCs w:val="20"/>
    </w:rPr>
  </w:style>
  <w:style w:type="paragraph" w:customStyle="1" w:styleId="4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6">
    <w:name w:val="Normal1"/>
    <w:qFormat/>
    <w:uiPriority w:val="0"/>
    <w:pPr>
      <w:widowControl/>
      <w:suppressAutoHyphens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customStyle="1" w:styleId="47">
    <w:name w:val="heading 11"/>
    <w:basedOn w:val="46"/>
    <w:next w:val="46"/>
    <w:qFormat/>
    <w:uiPriority w:val="0"/>
    <w:pPr>
      <w:keepNext/>
      <w:jc w:val="center"/>
    </w:pPr>
    <w:rPr>
      <w:sz w:val="24"/>
    </w:rPr>
  </w:style>
  <w:style w:type="paragraph" w:customStyle="1" w:styleId="48">
    <w:name w:val="heading 31"/>
    <w:basedOn w:val="46"/>
    <w:next w:val="46"/>
    <w:qFormat/>
    <w:uiPriority w:val="0"/>
    <w:pPr>
      <w:keepNext/>
      <w:jc w:val="center"/>
    </w:pPr>
    <w:rPr>
      <w:b/>
    </w:rPr>
  </w:style>
  <w:style w:type="paragraph" w:customStyle="1" w:styleId="49">
    <w:name w:val="heading 21"/>
    <w:basedOn w:val="46"/>
    <w:next w:val="46"/>
    <w:qFormat/>
    <w:uiPriority w:val="0"/>
    <w:pPr>
      <w:keepNext/>
      <w:jc w:val="center"/>
    </w:pPr>
    <w:rPr>
      <w:b/>
      <w:sz w:val="22"/>
    </w:rPr>
  </w:style>
  <w:style w:type="paragraph" w:customStyle="1" w:styleId="50">
    <w:name w:val="ConsNonformat"/>
    <w:qFormat/>
    <w:uiPriority w:val="0"/>
    <w:pPr>
      <w:widowControl w:val="0"/>
      <w:suppressAutoHyphens/>
      <w:autoSpaceDE w:val="0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customStyle="1" w:styleId="51">
    <w:name w:val="ConsNormal"/>
    <w:qFormat/>
    <w:uiPriority w:val="0"/>
    <w:pPr>
      <w:widowControl w:val="0"/>
      <w:suppressAutoHyphens/>
      <w:autoSpaceDE w:val="0"/>
      <w:bidi w:val="0"/>
      <w:ind w:left="0" w:right="0" w:firstLine="720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customStyle="1" w:styleId="52">
    <w:name w:val="Основной текст с отступом 21"/>
    <w:basedOn w:val="1"/>
    <w:qFormat/>
    <w:uiPriority w:val="0"/>
    <w:pPr>
      <w:ind w:left="0" w:right="0"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53">
    <w:name w:val="Основной текст 21"/>
    <w:basedOn w:val="1"/>
    <w:qFormat/>
    <w:uiPriority w:val="0"/>
    <w:pPr>
      <w:jc w:val="both"/>
    </w:pPr>
    <w:rPr>
      <w:rFonts w:ascii="Arial" w:hAnsi="Arial" w:cs="Arial"/>
      <w:sz w:val="20"/>
    </w:rPr>
  </w:style>
  <w:style w:type="paragraph" w:customStyle="1" w:styleId="54">
    <w:name w:val="Основной текст 31"/>
    <w:basedOn w:val="1"/>
    <w:qFormat/>
    <w:uiPriority w:val="0"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55">
    <w:name w:val="Основной текст с отступом 31"/>
    <w:basedOn w:val="1"/>
    <w:qFormat/>
    <w:uiPriority w:val="0"/>
    <w:pPr>
      <w:ind w:left="0" w:right="0" w:firstLine="705"/>
      <w:jc w:val="both"/>
    </w:pPr>
    <w:rPr>
      <w:rFonts w:ascii="Arial" w:hAnsi="Arial" w:cs="Arial"/>
      <w:color w:val="0000FF"/>
      <w:sz w:val="22"/>
    </w:rPr>
  </w:style>
  <w:style w:type="paragraph" w:customStyle="1" w:styleId="56">
    <w:name w:val="Body Text 21"/>
    <w:basedOn w:val="1"/>
    <w:qFormat/>
    <w:uiPriority w:val="0"/>
    <w:pPr>
      <w:ind w:left="0" w:right="0" w:firstLine="567"/>
      <w:jc w:val="both"/>
    </w:pPr>
    <w:rPr>
      <w:szCs w:val="20"/>
    </w:rPr>
  </w:style>
  <w:style w:type="paragraph" w:customStyle="1" w:styleId="57">
    <w:name w:val="ConsCell"/>
    <w:qFormat/>
    <w:uiPriority w:val="0"/>
    <w:pPr>
      <w:widowControl w:val="0"/>
      <w:suppressAutoHyphens/>
      <w:autoSpaceDE w:val="0"/>
      <w:bidi w:val="0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customStyle="1" w:styleId="58">
    <w:name w:val="ТабличныйТекст"/>
    <w:basedOn w:val="1"/>
    <w:qFormat/>
    <w:uiPriority w:val="0"/>
    <w:pPr>
      <w:jc w:val="both"/>
    </w:pPr>
    <w:rPr>
      <w:sz w:val="20"/>
      <w:szCs w:val="20"/>
    </w:rPr>
  </w:style>
  <w:style w:type="paragraph" w:customStyle="1" w:styleId="59">
    <w:name w:val="ConsPlusNonformat"/>
    <w:qFormat/>
    <w:uiPriority w:val="0"/>
    <w:pPr>
      <w:widowControl w:val="0"/>
      <w:suppressAutoHyphens/>
      <w:autoSpaceDE w:val="0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customStyle="1" w:styleId="60">
    <w:name w:val="Текст примечания1"/>
    <w:basedOn w:val="1"/>
    <w:qFormat/>
    <w:uiPriority w:val="0"/>
    <w:rPr>
      <w:sz w:val="20"/>
      <w:szCs w:val="20"/>
    </w:rPr>
  </w:style>
  <w:style w:type="paragraph" w:customStyle="1" w:styleId="61">
    <w:name w:val="Тема примечания1"/>
    <w:basedOn w:val="60"/>
    <w:next w:val="60"/>
    <w:qFormat/>
    <w:uiPriority w:val="0"/>
    <w:rPr>
      <w:b/>
      <w:bCs/>
    </w:rPr>
  </w:style>
  <w:style w:type="paragraph" w:customStyle="1" w:styleId="62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63">
    <w:name w:val="Table Contents"/>
    <w:basedOn w:val="1"/>
    <w:qFormat/>
    <w:uiPriority w:val="0"/>
    <w:pPr>
      <w:widowControl w:val="0"/>
      <w:suppressLineNumbers/>
    </w:pPr>
  </w:style>
  <w:style w:type="paragraph" w:customStyle="1" w:styleId="64">
    <w:name w:val="Table Heading"/>
    <w:basedOn w:val="63"/>
    <w:qFormat/>
    <w:uiPriority w:val="0"/>
    <w:pPr>
      <w:suppressLineNumbers/>
      <w:jc w:val="center"/>
    </w:pPr>
    <w:rPr>
      <w:b/>
      <w:bCs/>
    </w:rPr>
  </w:style>
  <w:style w:type="character" w:customStyle="1" w:styleId="65">
    <w:name w:val="font41"/>
    <w:uiPriority w:val="0"/>
    <w:rPr>
      <w:rFonts w:hint="default" w:ascii="Times New Roman" w:hAnsi="Times New Roman" w:cs="Times New Roman"/>
      <w:b/>
      <w:bCs/>
      <w:color w:val="000000"/>
      <w:u w:val="none"/>
    </w:rPr>
  </w:style>
  <w:style w:type="character" w:customStyle="1" w:styleId="66">
    <w:name w:val="font31"/>
    <w:uiPriority w:val="0"/>
    <w:rPr>
      <w:rFonts w:hint="default" w:ascii="Times New Roman" w:hAnsi="Times New Roman" w:cs="Times New Roman"/>
      <w:b/>
      <w:bCs/>
      <w:color w:val="000000"/>
      <w:u w:val="none"/>
    </w:rPr>
  </w:style>
  <w:style w:type="character" w:customStyle="1" w:styleId="67">
    <w:name w:val="font21"/>
    <w:uiPriority w:val="0"/>
    <w:rPr>
      <w:rFonts w:hint="default" w:ascii="Times New Roman" w:hAnsi="Times New Roman" w:cs="Times New Roman"/>
      <w:color w:val="000000"/>
      <w:u w:val="none"/>
    </w:rPr>
  </w:style>
  <w:style w:type="character" w:customStyle="1" w:styleId="68">
    <w:name w:val="font61"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2025-05-27T10:17:00Z</dcterms:created>
  <dc:creator>z</dc:creator>
  <cp:lastModifiedBy>User</cp:lastModifiedBy>
  <cp:lastPrinted>2025-09-13T11:55:00Z</cp:lastPrinted>
  <dcterms:modified xsi:type="dcterms:W3CDTF">2025-09-21T06:47:12Z</dcterms:modified>
  <dc:title>СОГЛАСОВАНО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5304491BE5AC4FFC9A9B342FE5D75C13_13</vt:lpwstr>
  </property>
</Properties>
</file>