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B4" w:rsidRDefault="00B60D5E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-281940</wp:posOffset>
            </wp:positionV>
            <wp:extent cx="636270" cy="75247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0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B60D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0E50">
        <w:rPr>
          <w:rFonts w:ascii="Times New Roman" w:hAnsi="Times New Roman" w:cs="Times New Roman"/>
          <w:sz w:val="28"/>
          <w:szCs w:val="28"/>
        </w:rPr>
        <w:t xml:space="preserve">      </w:t>
      </w:r>
      <w:r w:rsidRPr="004C6222">
        <w:rPr>
          <w:rFonts w:ascii="Times New Roman" w:hAnsi="Times New Roman" w:cs="Times New Roman"/>
          <w:sz w:val="28"/>
          <w:szCs w:val="28"/>
        </w:rPr>
        <w:t xml:space="preserve">№ </w:t>
      </w:r>
      <w:r w:rsidR="00FC45FF">
        <w:rPr>
          <w:rFonts w:ascii="Times New Roman" w:hAnsi="Times New Roman" w:cs="Times New Roman"/>
          <w:sz w:val="28"/>
          <w:szCs w:val="28"/>
        </w:rPr>
        <w:t>01-34</w:t>
      </w:r>
      <w:r w:rsidR="00B60D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60D5E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4C6222" w:rsidRDefault="007D0E50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4C6222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15539F" w:rsidRDefault="004C6222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1E5F1C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4C6222">
        <w:rPr>
          <w:rFonts w:ascii="Times New Roman" w:hAnsi="Times New Roman" w:cs="Times New Roman"/>
          <w:sz w:val="28"/>
          <w:szCs w:val="28"/>
        </w:rPr>
        <w:t>льн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4C6222">
        <w:rPr>
          <w:rFonts w:ascii="Times New Roman" w:hAnsi="Times New Roman" w:cs="Times New Roman"/>
          <w:sz w:val="28"/>
          <w:szCs w:val="28"/>
        </w:rPr>
        <w:t>орган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>
        <w:rPr>
          <w:rFonts w:ascii="Times New Roman" w:hAnsi="Times New Roman" w:cs="Times New Roman"/>
          <w:sz w:val="28"/>
          <w:szCs w:val="28"/>
        </w:rPr>
        <w:t xml:space="preserve">– </w:t>
      </w:r>
      <w:r w:rsidR="00686E38">
        <w:rPr>
          <w:rFonts w:ascii="Times New Roman" w:hAnsi="Times New Roman" w:cs="Times New Roman"/>
          <w:sz w:val="28"/>
          <w:szCs w:val="28"/>
        </w:rPr>
        <w:t>Дзержинский</w:t>
      </w:r>
      <w:r w:rsid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4C6222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4C6222">
        <w:rPr>
          <w:rFonts w:ascii="Times New Roman" w:hAnsi="Times New Roman" w:cs="Times New Roman"/>
          <w:sz w:val="28"/>
          <w:szCs w:val="28"/>
        </w:rPr>
        <w:t>ративн</w:t>
      </w:r>
      <w:r w:rsidR="00686E38">
        <w:rPr>
          <w:rFonts w:ascii="Times New Roman" w:hAnsi="Times New Roman" w:cs="Times New Roman"/>
          <w:sz w:val="28"/>
          <w:szCs w:val="28"/>
        </w:rPr>
        <w:t>ый</w:t>
      </w:r>
      <w:r w:rsidR="00743A3A" w:rsidRPr="004C6222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4C6222" w:rsidRDefault="00FE565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48563D" w:rsidRDefault="004C6222" w:rsidP="004C6222">
      <w:pPr>
        <w:keepNext/>
        <w:keepLines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63D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ральным </w:t>
      </w:r>
      <w:r w:rsidRPr="0048563D">
        <w:rPr>
          <w:rFonts w:ascii="Times New Roman" w:hAnsi="Times New Roman" w:cs="Times New Roman"/>
          <w:sz w:val="28"/>
          <w:szCs w:val="28"/>
        </w:rPr>
        <w:t xml:space="preserve">законом от 20.03.2025 </w:t>
      </w:r>
      <w:r w:rsidR="00277ED7">
        <w:rPr>
          <w:rFonts w:ascii="Times New Roman" w:hAnsi="Times New Roman" w:cs="Times New Roman"/>
          <w:sz w:val="28"/>
          <w:szCs w:val="28"/>
        </w:rPr>
        <w:t>№</w:t>
      </w:r>
      <w:r w:rsidRPr="0048563D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>
        <w:rPr>
          <w:rFonts w:ascii="Times New Roman" w:hAnsi="Times New Roman" w:cs="Times New Roman"/>
          <w:sz w:val="28"/>
          <w:szCs w:val="28"/>
        </w:rPr>
        <w:t> </w:t>
      </w:r>
      <w:r w:rsidRPr="0048563D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</w:t>
      </w:r>
      <w:r w:rsidRPr="00BB796F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от </w:t>
      </w:r>
      <w:r w:rsidR="00BB796F" w:rsidRPr="00BB796F">
        <w:rPr>
          <w:rFonts w:ascii="Times New Roman" w:hAnsi="Times New Roman" w:cs="Times New Roman"/>
          <w:sz w:val="28"/>
          <w:szCs w:val="28"/>
        </w:rPr>
        <w:t>25.09.2025</w:t>
      </w:r>
      <w:r w:rsidRPr="00BB796F">
        <w:rPr>
          <w:rFonts w:ascii="Times New Roman" w:hAnsi="Times New Roman" w:cs="Times New Roman"/>
          <w:sz w:val="28"/>
          <w:szCs w:val="28"/>
        </w:rPr>
        <w:t xml:space="preserve"> № </w:t>
      </w:r>
      <w:r w:rsidR="00BB796F" w:rsidRPr="00BB796F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BB796F" w:rsidRPr="00BB796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«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48563D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>РЕШИЛА:</w:t>
      </w:r>
    </w:p>
    <w:p w:rsidR="00BB796F" w:rsidRPr="00BB796F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6968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>
        <w:rPr>
          <w:rFonts w:ascii="Times New Roman" w:hAnsi="Times New Roman" w:cs="Times New Roman"/>
          <w:sz w:val="28"/>
          <w:szCs w:val="28"/>
        </w:rPr>
        <w:t xml:space="preserve"> - </w:t>
      </w:r>
      <w:r w:rsidR="00C17FE3">
        <w:rPr>
          <w:rFonts w:ascii="Times New Roman" w:hAnsi="Times New Roman" w:cs="Times New Roman"/>
          <w:sz w:val="28"/>
          <w:szCs w:val="28"/>
        </w:rPr>
        <w:t>Дзержинский</w:t>
      </w:r>
      <w:r w:rsidR="00C17FE3" w:rsidRPr="00827DCC"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3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222" w:rsidRPr="009D71E3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6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C17FE3">
        <w:rPr>
          <w:rFonts w:ascii="Times New Roman" w:hAnsi="Times New Roman" w:cs="Times New Roman"/>
          <w:sz w:val="28"/>
          <w:szCs w:val="28"/>
        </w:rPr>
        <w:t>Дзержинском</w:t>
      </w:r>
      <w:r w:rsidRPr="0048563D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96F" w:rsidRDefault="00BB796F" w:rsidP="00BB7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9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96F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Дзержинский</w:t>
      </w:r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96F" w:rsidRPr="00BB796F" w:rsidRDefault="00BB796F" w:rsidP="00BB7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Дзержинский Административный округ.</w:t>
      </w:r>
    </w:p>
    <w:p w:rsidR="00887556" w:rsidRDefault="00BB796F" w:rsidP="00887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556" w:rsidRPr="00887556">
        <w:rPr>
          <w:rFonts w:ascii="Times New Roman" w:hAnsi="Times New Roman" w:cs="Times New Roman"/>
          <w:sz w:val="28"/>
          <w:szCs w:val="28"/>
        </w:rPr>
        <w:t>.</w:t>
      </w:r>
      <w:r w:rsidR="00887556" w:rsidRPr="00887556">
        <w:rPr>
          <w:rFonts w:ascii="Times New Roman" w:hAnsi="Times New Roman" w:cs="Times New Roman"/>
          <w:sz w:val="28"/>
          <w:szCs w:val="28"/>
        </w:rPr>
        <w:tab/>
        <w:t>Установить место нахождения Дзержинск</w:t>
      </w:r>
      <w:r w:rsidR="00887556">
        <w:rPr>
          <w:rFonts w:ascii="Times New Roman" w:hAnsi="Times New Roman" w:cs="Times New Roman"/>
          <w:sz w:val="28"/>
          <w:szCs w:val="28"/>
        </w:rPr>
        <w:t>ого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87556">
        <w:rPr>
          <w:rFonts w:ascii="Times New Roman" w:hAnsi="Times New Roman" w:cs="Times New Roman"/>
          <w:sz w:val="28"/>
          <w:szCs w:val="28"/>
        </w:rPr>
        <w:t>ого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87556">
        <w:rPr>
          <w:rFonts w:ascii="Times New Roman" w:hAnsi="Times New Roman" w:cs="Times New Roman"/>
          <w:sz w:val="28"/>
          <w:szCs w:val="28"/>
        </w:rPr>
        <w:t>а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664511,  Иркутская область, муниципальный район Иркутский, сельское поселение </w:t>
      </w:r>
      <w:r w:rsidR="00887556">
        <w:rPr>
          <w:rFonts w:ascii="Times New Roman" w:hAnsi="Times New Roman" w:cs="Times New Roman"/>
          <w:sz w:val="28"/>
          <w:szCs w:val="28"/>
        </w:rPr>
        <w:t>Дзержинское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, </w:t>
      </w:r>
      <w:r w:rsidR="00887556">
        <w:rPr>
          <w:rFonts w:ascii="Times New Roman" w:hAnsi="Times New Roman" w:cs="Times New Roman"/>
          <w:sz w:val="28"/>
          <w:szCs w:val="28"/>
        </w:rPr>
        <w:t>поселок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 </w:t>
      </w:r>
      <w:r w:rsidR="00887556">
        <w:rPr>
          <w:rFonts w:ascii="Times New Roman" w:hAnsi="Times New Roman" w:cs="Times New Roman"/>
          <w:sz w:val="28"/>
          <w:szCs w:val="28"/>
        </w:rPr>
        <w:t>Дзержинск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887556">
        <w:rPr>
          <w:rFonts w:ascii="Times New Roman" w:hAnsi="Times New Roman" w:cs="Times New Roman"/>
          <w:sz w:val="28"/>
          <w:szCs w:val="28"/>
        </w:rPr>
        <w:t>Центральная</w:t>
      </w:r>
      <w:r w:rsidR="00887556" w:rsidRPr="00887556">
        <w:rPr>
          <w:rFonts w:ascii="Times New Roman" w:hAnsi="Times New Roman" w:cs="Times New Roman"/>
          <w:sz w:val="28"/>
          <w:szCs w:val="28"/>
        </w:rPr>
        <w:t xml:space="preserve">, </w:t>
      </w:r>
      <w:r w:rsidR="009D71E3">
        <w:rPr>
          <w:rFonts w:ascii="Times New Roman" w:hAnsi="Times New Roman" w:cs="Times New Roman"/>
          <w:sz w:val="28"/>
          <w:szCs w:val="28"/>
        </w:rPr>
        <w:t>здание</w:t>
      </w:r>
      <w:r w:rsidR="00887556">
        <w:rPr>
          <w:rFonts w:ascii="Times New Roman" w:hAnsi="Times New Roman" w:cs="Times New Roman"/>
          <w:sz w:val="28"/>
          <w:szCs w:val="28"/>
        </w:rPr>
        <w:t xml:space="preserve"> 1а</w:t>
      </w:r>
      <w:r w:rsidR="00887556" w:rsidRPr="00887556">
        <w:rPr>
          <w:rFonts w:ascii="Times New Roman" w:hAnsi="Times New Roman" w:cs="Times New Roman"/>
          <w:sz w:val="28"/>
          <w:szCs w:val="28"/>
        </w:rPr>
        <w:t>.</w:t>
      </w:r>
      <w:r w:rsidR="00887556" w:rsidRPr="00887556">
        <w:rPr>
          <w:rFonts w:ascii="Times New Roman" w:hAnsi="Times New Roman" w:cs="Times New Roman"/>
          <w:sz w:val="28"/>
          <w:szCs w:val="28"/>
        </w:rPr>
        <w:tab/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B796F">
        <w:rPr>
          <w:rFonts w:ascii="Times New Roman" w:hAnsi="Times New Roman" w:cs="Times New Roman"/>
          <w:sz w:val="28"/>
          <w:szCs w:val="28"/>
        </w:rPr>
        <w:t>5</w:t>
      </w:r>
      <w:r w:rsidRPr="0010045D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0C3751" w:rsidRPr="0010045D">
        <w:rPr>
          <w:rFonts w:ascii="Times New Roman" w:hAnsi="Times New Roman" w:cs="Times New Roman"/>
          <w:sz w:val="28"/>
          <w:szCs w:val="28"/>
        </w:rPr>
        <w:t>первого заместителя Мэра Иркутского район</w:t>
      </w:r>
      <w:bookmarkStart w:id="0" w:name="_GoBack"/>
      <w:bookmarkEnd w:id="0"/>
      <w:r w:rsidR="00B60D5E">
        <w:rPr>
          <w:rFonts w:ascii="Times New Roman" w:hAnsi="Times New Roman" w:cs="Times New Roman"/>
          <w:sz w:val="28"/>
          <w:szCs w:val="28"/>
        </w:rPr>
        <w:t>а</w:t>
      </w:r>
      <w:r w:rsidR="0010045D">
        <w:rPr>
          <w:rFonts w:ascii="Times New Roman" w:hAnsi="Times New Roman" w:cs="Times New Roman"/>
          <w:sz w:val="28"/>
          <w:szCs w:val="28"/>
        </w:rPr>
        <w:t xml:space="preserve"> Жука Игоря Владимировича</w:t>
      </w:r>
      <w:r w:rsidRPr="0048563D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документов и совершение иных действий, связанных с государственной регистрацией</w:t>
      </w:r>
      <w:r w:rsidR="00A6671E">
        <w:rPr>
          <w:rFonts w:ascii="Times New Roman" w:hAnsi="Times New Roman" w:cs="Times New Roman"/>
          <w:sz w:val="28"/>
          <w:szCs w:val="28"/>
        </w:rPr>
        <w:t>.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96F">
        <w:rPr>
          <w:rFonts w:ascii="Times New Roman" w:hAnsi="Times New Roman" w:cs="Times New Roman"/>
          <w:sz w:val="28"/>
          <w:szCs w:val="28"/>
        </w:rPr>
        <w:t>6</w:t>
      </w:r>
      <w:r w:rsidRPr="0048563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48563D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796F">
        <w:rPr>
          <w:rFonts w:ascii="Times New Roman" w:hAnsi="Times New Roman" w:cs="Times New Roman"/>
          <w:sz w:val="28"/>
          <w:szCs w:val="28"/>
        </w:rPr>
        <w:t>7</w:t>
      </w:r>
      <w:r w:rsidRPr="0048563D">
        <w:rPr>
          <w:rFonts w:ascii="Times New Roman" w:hAnsi="Times New Roman" w:cs="Times New Roman"/>
          <w:sz w:val="28"/>
          <w:szCs w:val="28"/>
        </w:rPr>
        <w:t>.</w:t>
      </w:r>
      <w:r w:rsidR="00A6671E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>
        <w:rPr>
          <w:rFonts w:ascii="Times New Roman" w:hAnsi="Times New Roman" w:cs="Times New Roman"/>
          <w:sz w:val="28"/>
          <w:szCs w:val="28"/>
        </w:rPr>
        <w:t>-</w:t>
      </w:r>
      <w:r w:rsidRPr="0048563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Pr="0048563D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48563D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Pr="0048563D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48563D" w:rsidRDefault="00BB796F" w:rsidP="00094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6222" w:rsidRPr="0048563D">
        <w:rPr>
          <w:rFonts w:ascii="Times New Roman" w:hAnsi="Times New Roman" w:cs="Times New Roman"/>
          <w:sz w:val="28"/>
          <w:szCs w:val="28"/>
        </w:rPr>
        <w:t>.</w:t>
      </w:r>
      <w:r w:rsidR="004C6222" w:rsidRPr="0048563D">
        <w:rPr>
          <w:rFonts w:ascii="Times New Roman" w:hAnsi="Times New Roman" w:cs="Times New Roman"/>
          <w:sz w:val="28"/>
          <w:szCs w:val="28"/>
        </w:rPr>
        <w:tab/>
        <w:t xml:space="preserve">Контроль исполнения настоящего решения возложить на постоянную комиссию </w:t>
      </w:r>
      <w:r w:rsidR="00C26752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Default="004C622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Default="004C6222" w:rsidP="004C6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10EA4" w:rsidRPr="006F5A73" w:rsidTr="009653C7">
        <w:tc>
          <w:tcPr>
            <w:tcW w:w="4927" w:type="dxa"/>
          </w:tcPr>
          <w:p w:rsidR="00810EA4" w:rsidRPr="006F5A73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810EA4" w:rsidRPr="006F5A73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810EA4" w:rsidRPr="006F5A73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810EA4" w:rsidRPr="006F5A73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4" w:rsidRPr="006F5A73" w:rsidTr="009653C7">
        <w:tc>
          <w:tcPr>
            <w:tcW w:w="4927" w:type="dxa"/>
          </w:tcPr>
          <w:p w:rsidR="00810EA4" w:rsidRPr="006F5A73" w:rsidRDefault="00810EA4" w:rsidP="00721C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810EA4" w:rsidRPr="006F5A73" w:rsidRDefault="00810EA4" w:rsidP="00721C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810EA4" w:rsidRPr="006F5A73" w:rsidTr="009653C7">
        <w:tc>
          <w:tcPr>
            <w:tcW w:w="4927" w:type="dxa"/>
          </w:tcPr>
          <w:p w:rsidR="00810EA4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EA4" w:rsidRPr="006F5A73" w:rsidRDefault="00810EA4" w:rsidP="00721C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10EA4" w:rsidRPr="006F5A73" w:rsidRDefault="00810EA4" w:rsidP="00721C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539F" w:rsidRDefault="0015539F" w:rsidP="004C6222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D0E50" w:rsidRDefault="007D0E50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Default="00FC45FF" w:rsidP="00FC45FF">
      <w:pPr>
        <w:rPr>
          <w:rFonts w:ascii="Times New Roman" w:hAnsi="Times New Roman" w:cs="Times New Roman"/>
          <w:sz w:val="28"/>
          <w:szCs w:val="28"/>
        </w:rPr>
      </w:pPr>
    </w:p>
    <w:p w:rsidR="00FC45FF" w:rsidRPr="00FC45FF" w:rsidRDefault="00FC45F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C45FF" w:rsidRPr="00FC45FF" w:rsidRDefault="0015539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C45FF">
        <w:rPr>
          <w:rFonts w:ascii="Times New Roman" w:hAnsi="Times New Roman" w:cs="Times New Roman"/>
          <w:sz w:val="24"/>
          <w:szCs w:val="24"/>
        </w:rPr>
        <w:t>Приложение</w:t>
      </w:r>
    </w:p>
    <w:p w:rsidR="0015539F" w:rsidRPr="00FC45FF" w:rsidRDefault="0015539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C45FF">
        <w:rPr>
          <w:rFonts w:ascii="Times New Roman" w:hAnsi="Times New Roman" w:cs="Times New Roman"/>
          <w:sz w:val="24"/>
          <w:szCs w:val="24"/>
        </w:rPr>
        <w:t>ТВЕРЖДЕНО</w:t>
      </w:r>
    </w:p>
    <w:p w:rsidR="0015539F" w:rsidRPr="00FC45FF" w:rsidRDefault="0015539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C45FF">
        <w:rPr>
          <w:rFonts w:ascii="Times New Roman" w:hAnsi="Times New Roman" w:cs="Times New Roman"/>
          <w:sz w:val="24"/>
          <w:szCs w:val="24"/>
        </w:rPr>
        <w:t>решением Думы Иркутского</w:t>
      </w:r>
    </w:p>
    <w:p w:rsidR="00A95ABE" w:rsidRPr="00FC45FF" w:rsidRDefault="0015539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FC45F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15539F" w:rsidRPr="00FC45FF" w:rsidRDefault="00FC45FF" w:rsidP="00FC45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01-34</w:t>
      </w:r>
      <w:r w:rsidR="00A95ABE" w:rsidRPr="00FC45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95ABE" w:rsidRPr="00FC45FF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="0015539F" w:rsidRPr="00FC4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39F" w:rsidRDefault="0015539F" w:rsidP="00FC45FF">
      <w:pPr>
        <w:pStyle w:val="a6"/>
        <w:jc w:val="right"/>
      </w:pPr>
      <w:r w:rsidRPr="00FC45FF">
        <w:rPr>
          <w:rFonts w:ascii="Times New Roman" w:hAnsi="Times New Roman" w:cs="Times New Roman"/>
          <w:sz w:val="24"/>
          <w:szCs w:val="24"/>
        </w:rPr>
        <w:t xml:space="preserve">от </w:t>
      </w:r>
      <w:r w:rsidR="00A2497A" w:rsidRPr="00FC45FF">
        <w:rPr>
          <w:rFonts w:ascii="Times New Roman" w:hAnsi="Times New Roman" w:cs="Times New Roman"/>
          <w:sz w:val="24"/>
          <w:szCs w:val="24"/>
        </w:rPr>
        <w:t>25.09.</w:t>
      </w:r>
      <w:r w:rsidR="00A95ABE" w:rsidRPr="00FC45FF">
        <w:rPr>
          <w:rFonts w:ascii="Times New Roman" w:hAnsi="Times New Roman" w:cs="Times New Roman"/>
          <w:sz w:val="24"/>
          <w:szCs w:val="24"/>
        </w:rPr>
        <w:t>20</w:t>
      </w:r>
      <w:r w:rsidR="00A2497A" w:rsidRPr="00FC45FF">
        <w:rPr>
          <w:rFonts w:ascii="Times New Roman" w:hAnsi="Times New Roman" w:cs="Times New Roman"/>
          <w:sz w:val="24"/>
          <w:szCs w:val="24"/>
        </w:rPr>
        <w:t>25</w:t>
      </w:r>
      <w:r w:rsidR="00A95ABE" w:rsidRPr="00FC45FF">
        <w:rPr>
          <w:rFonts w:ascii="Times New Roman" w:hAnsi="Times New Roman" w:cs="Times New Roman"/>
          <w:sz w:val="24"/>
          <w:szCs w:val="24"/>
        </w:rPr>
        <w:t>г</w:t>
      </w:r>
    </w:p>
    <w:p w:rsidR="0009307A" w:rsidRDefault="0009307A" w:rsidP="0009307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7FE3">
        <w:rPr>
          <w:rFonts w:ascii="Times New Roman" w:hAnsi="Times New Roman" w:cs="Times New Roman"/>
          <w:b/>
          <w:sz w:val="28"/>
          <w:szCs w:val="28"/>
        </w:rPr>
        <w:t>ДЗЕРЖИНСКОМ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17FE3">
        <w:rPr>
          <w:rFonts w:ascii="Times New Roman" w:hAnsi="Times New Roman" w:cs="Times New Roman"/>
          <w:sz w:val="28"/>
          <w:szCs w:val="28"/>
        </w:rPr>
        <w:t>Дзержинский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17FE3">
        <w:rPr>
          <w:rFonts w:ascii="Times New Roman" w:hAnsi="Times New Roman" w:cs="Times New Roman"/>
          <w:sz w:val="28"/>
          <w:szCs w:val="28"/>
        </w:rPr>
        <w:t>Дзержинского</w:t>
      </w:r>
      <w:r w:rsidR="00C17FE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A12A9" w:rsidRPr="004C6222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C3701C">
        <w:rPr>
          <w:rFonts w:ascii="Times New Roman" w:hAnsi="Times New Roman" w:cs="Times New Roman"/>
          <w:sz w:val="28"/>
          <w:szCs w:val="28"/>
        </w:rPr>
        <w:t xml:space="preserve"> </w:t>
      </w:r>
      <w:r w:rsidR="00C3701C" w:rsidRPr="00C3701C">
        <w:rPr>
          <w:rFonts w:ascii="Times New Roman" w:hAnsi="Times New Roman" w:cs="Times New Roman"/>
          <w:sz w:val="28"/>
          <w:szCs w:val="28"/>
        </w:rPr>
        <w:t>Иркутской области (далее 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имеет на праве оперативного управления 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7FE3">
        <w:rPr>
          <w:rFonts w:ascii="Times New Roman" w:hAnsi="Times New Roman" w:cs="Times New Roman"/>
          <w:sz w:val="28"/>
          <w:szCs w:val="28"/>
        </w:rPr>
        <w:t>Дзержинский</w:t>
      </w:r>
      <w:r w:rsidR="00C17FE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BD3F33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7D6C7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E5434"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17FE3">
        <w:rPr>
          <w:rFonts w:ascii="Times New Roman" w:hAnsi="Times New Roman" w:cs="Times New Roman"/>
          <w:sz w:val="28"/>
          <w:szCs w:val="28"/>
        </w:rPr>
        <w:t>Дзержинский</w:t>
      </w:r>
      <w:r w:rsidR="000E7659">
        <w:rPr>
          <w:rFonts w:ascii="Times New Roman" w:hAnsi="Times New Roman" w:cs="Times New Roman"/>
          <w:sz w:val="28"/>
          <w:szCs w:val="28"/>
        </w:rPr>
        <w:t xml:space="preserve"> </w:t>
      </w:r>
      <w:r w:rsidR="000E5434"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4669DA" w:rsidRDefault="004669DA" w:rsidP="0046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73F92" w:rsidRPr="00887556">
        <w:rPr>
          <w:rFonts w:ascii="Times New Roman" w:hAnsi="Times New Roman" w:cs="Times New Roman"/>
          <w:sz w:val="28"/>
          <w:szCs w:val="28"/>
        </w:rPr>
        <w:t xml:space="preserve">664511,  Иркутская область, муниципальный район Иркутский, сельское поселение </w:t>
      </w:r>
      <w:r w:rsidR="00A73F92">
        <w:rPr>
          <w:rFonts w:ascii="Times New Roman" w:hAnsi="Times New Roman" w:cs="Times New Roman"/>
          <w:sz w:val="28"/>
          <w:szCs w:val="28"/>
        </w:rPr>
        <w:t>Дзержинское</w:t>
      </w:r>
      <w:r w:rsidR="00A73F92" w:rsidRPr="00887556">
        <w:rPr>
          <w:rFonts w:ascii="Times New Roman" w:hAnsi="Times New Roman" w:cs="Times New Roman"/>
          <w:sz w:val="28"/>
          <w:szCs w:val="28"/>
        </w:rPr>
        <w:t xml:space="preserve">, </w:t>
      </w:r>
      <w:r w:rsidR="00A73F92">
        <w:rPr>
          <w:rFonts w:ascii="Times New Roman" w:hAnsi="Times New Roman" w:cs="Times New Roman"/>
          <w:sz w:val="28"/>
          <w:szCs w:val="28"/>
        </w:rPr>
        <w:t>поселок</w:t>
      </w:r>
      <w:r w:rsidR="00A73F92" w:rsidRPr="00887556">
        <w:rPr>
          <w:rFonts w:ascii="Times New Roman" w:hAnsi="Times New Roman" w:cs="Times New Roman"/>
          <w:sz w:val="28"/>
          <w:szCs w:val="28"/>
        </w:rPr>
        <w:t xml:space="preserve"> </w:t>
      </w:r>
      <w:r w:rsidR="00A73F92">
        <w:rPr>
          <w:rFonts w:ascii="Times New Roman" w:hAnsi="Times New Roman" w:cs="Times New Roman"/>
          <w:sz w:val="28"/>
          <w:szCs w:val="28"/>
        </w:rPr>
        <w:t>Дзержинск</w:t>
      </w:r>
      <w:r w:rsidR="00A73F92" w:rsidRPr="00887556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73F92">
        <w:rPr>
          <w:rFonts w:ascii="Times New Roman" w:hAnsi="Times New Roman" w:cs="Times New Roman"/>
          <w:sz w:val="28"/>
          <w:szCs w:val="28"/>
        </w:rPr>
        <w:t>Центральная</w:t>
      </w:r>
      <w:r w:rsidR="00A73F92" w:rsidRPr="00887556">
        <w:rPr>
          <w:rFonts w:ascii="Times New Roman" w:hAnsi="Times New Roman" w:cs="Times New Roman"/>
          <w:sz w:val="28"/>
          <w:szCs w:val="28"/>
        </w:rPr>
        <w:t xml:space="preserve">, </w:t>
      </w:r>
      <w:r w:rsidR="009D71E3">
        <w:rPr>
          <w:rFonts w:ascii="Times New Roman" w:hAnsi="Times New Roman" w:cs="Times New Roman"/>
          <w:sz w:val="28"/>
          <w:szCs w:val="28"/>
        </w:rPr>
        <w:t>здание</w:t>
      </w:r>
      <w:r w:rsidR="00A73F92">
        <w:rPr>
          <w:rFonts w:ascii="Times New Roman" w:hAnsi="Times New Roman" w:cs="Times New Roman"/>
          <w:sz w:val="28"/>
          <w:szCs w:val="28"/>
        </w:rPr>
        <w:t xml:space="preserve"> 1а.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09307A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</w:t>
      </w:r>
      <w:r w:rsidR="0009307A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CC3240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>дорожном хозяйстве, 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</w:t>
      </w:r>
      <w:r w:rsidR="00633270" w:rsidRPr="004C6222">
        <w:rPr>
          <w:rFonts w:ascii="Times New Roman" w:hAnsi="Times New Roman" w:cs="Times New Roman"/>
          <w:sz w:val="28"/>
          <w:szCs w:val="28"/>
        </w:rPr>
        <w:lastRenderedPageBreak/>
        <w:t>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 xml:space="preserve">защите населения и территории от чрезвычайных ситуаций природного и техногенного характера, включая поддержку в состоянии постоянной </w:t>
      </w:r>
      <w:r w:rsidR="00615B02" w:rsidRPr="004C6222">
        <w:rPr>
          <w:rFonts w:ascii="Times New Roman" w:hAnsi="Times New Roman"/>
          <w:sz w:val="28"/>
          <w:szCs w:val="28"/>
        </w:rPr>
        <w:lastRenderedPageBreak/>
        <w:t>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09307A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поддержки инновационной деятельности в формах, предусмотренных пунктом 4 статьи 16.2 Федерального закона от 23.08.1996</w:t>
      </w:r>
      <w:r w:rsidR="0009307A">
        <w:rPr>
          <w:rFonts w:ascii="Times New Roman" w:hAnsi="Times New Roman" w:cs="Times New Roman"/>
          <w:sz w:val="28"/>
          <w:szCs w:val="28"/>
        </w:rPr>
        <w:t xml:space="preserve"> 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09307A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</w:t>
      </w:r>
      <w:r w:rsidR="00BB251A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491679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491679" w:rsidRPr="004C6222" w:rsidRDefault="00AC6B2D" w:rsidP="0049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1679" w:rsidRPr="00491679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F54170" w:rsidRPr="00F5417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F54170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>ответы на индивидуальные и коллективные заявления и 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07A"/>
    <w:rsid w:val="00093A68"/>
    <w:rsid w:val="00094D2F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3751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45D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77ED7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4F09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27627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1679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07E0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96878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E7F92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3116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0E5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0EA4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30B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556"/>
    <w:rsid w:val="00887621"/>
    <w:rsid w:val="00891F70"/>
    <w:rsid w:val="008A1D03"/>
    <w:rsid w:val="008A53AC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0EB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53C7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D71E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328F"/>
    <w:rsid w:val="00A2347B"/>
    <w:rsid w:val="00A2458E"/>
    <w:rsid w:val="00A2497A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3F92"/>
    <w:rsid w:val="00A745A1"/>
    <w:rsid w:val="00A82EEB"/>
    <w:rsid w:val="00A874AE"/>
    <w:rsid w:val="00A90B2F"/>
    <w:rsid w:val="00A93394"/>
    <w:rsid w:val="00A95ABE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0D5E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B796F"/>
    <w:rsid w:val="00BC1417"/>
    <w:rsid w:val="00BC1D11"/>
    <w:rsid w:val="00BC4231"/>
    <w:rsid w:val="00BC5631"/>
    <w:rsid w:val="00BD359B"/>
    <w:rsid w:val="00BD3F33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26752"/>
    <w:rsid w:val="00C31D46"/>
    <w:rsid w:val="00C33C87"/>
    <w:rsid w:val="00C34908"/>
    <w:rsid w:val="00C34D83"/>
    <w:rsid w:val="00C35251"/>
    <w:rsid w:val="00C35C17"/>
    <w:rsid w:val="00C36BAD"/>
    <w:rsid w:val="00C3701C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007E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03B3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170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45FF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810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59C4-CAA9-4EF8-A679-B9694AEA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5964</Words>
  <Characters>33996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14</cp:revision>
  <cp:lastPrinted>2025-10-02T05:44:00Z</cp:lastPrinted>
  <dcterms:created xsi:type="dcterms:W3CDTF">2025-10-01T05:39:00Z</dcterms:created>
  <dcterms:modified xsi:type="dcterms:W3CDTF">2025-10-02T08:02:00Z</dcterms:modified>
</cp:coreProperties>
</file>