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 Думы Иркутского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29.05.2025 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11-70/</w:t>
      </w:r>
      <w:r>
        <w:rPr>
          <w:rFonts w:ascii="Times New Roman" w:hAnsi="Times New Roman" w:cs="Times New Roman"/>
          <w:sz w:val="28"/>
          <w:szCs w:val="28"/>
        </w:rPr>
        <w:t xml:space="preserve">рд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езисы отчета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Мэра Иркутского района о результатах его деятельности, деятельности администрации Иркутского района и иных подведомственных Мэру Иркутского района органов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Социально-экономическое развитие.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Иркутского органа статистики численность населения Иркутского района по состоянию на 01.01.202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171  995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населения увеличилась  на 4 006 чел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за счет естественного прироста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656 чел.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за счет  миграционного прироста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3 360 чел.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Наибольший миграционный прирост отмечен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Уриковском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Хомутовском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Марковском муниципальных образованиях.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численности населения взаимосвязано  с   градостроительной деятельностью, ведущейся на территории района. Введено в эксплуатацию 759,98 тыс. м2  общей площади, что на 0,8% больше чем в 2023 году. Построено 5 534 квартиры.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хозяйствующие субъекты на территории  района -  это субъекты малого предпринимательства. Их  насчитывается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9 890  в т.ч.:          7 707 - индивидуальных предпринимателей, 55 КФХ, 2 128 - малых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микропредприятий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Около 6,5 тыс. человек зарегистрированы в качестве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самозанятых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являются плательщиками «Налога на профессиональный доход».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занятых на малых и средних предприятиях составила        6 865 человек. С  учетом ИП  в секторе малого бизнеса -  14 672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Выручка от реализации продукции, работ, услуг, производимых малыми предприятиями, индивидуальными предпринимателями составила  за 2024 год 32 713,3 млн. рублей. Данный показатель увеличился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5,9% к аналогичному периоду 2023 года.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2024 года поступления в консолидированный бюджет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ркутского района от деятельности субъектов малого и среднего предпринимательства составили 894,6 млн. руб. (39,75% в структуре собственных доходов районного бюджета). По сравнению с налоговыми поступлениями к уровню 2023 года произошло повышение на 14,8%.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развития малого бизнеса в районе оказываются все меры поддержки предусмотренные законодательством.  Сформирован перечень имущества, предоставляемый  малому бизнесу для ведения предпринимательской деятельности, оказывается консультационная помощь.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Финансовая поддержка оказывается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микрозаймы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предоставляемые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Микрокредитной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компанией «Фонд поддержки малого и среднего предпринимательства Иркутского района». За  2024 год Фонд выдал 16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микрозаймов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47,42 млн. рублей: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микрозайма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развитие сельского хозяйства (12 млн. 250 тыс. рублей); 6 -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микрозаймов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торговли (7,4 млн. рублей); 2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микрозайма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производства, переработки, консервирования пищевой продукции, деревообработки (6,27 млн. рублей); 1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микрозайм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туризма (5 млн. рублей); 4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микрозайма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строительства (16,5 млн. рублей).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Большая часть субъектов малого предпринимательства занята в торговле.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отмечено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площадей торговых объектов на 3,01 % (с 88,8 тыс. кв.м, до 91,6 тыс. кв.м.). Фактическая обеспеченность площадями стационарных торговых объектов составляет 289% от установленного норматива, в том числе по группе продовольственных товаров – 364%.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расширения возможностей сбыта местными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сельхозтоваропроизводителями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района проведено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ярмарок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 сезонных, 310 ярмарок выходного дня, 34 праздничные ярмарки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Сельскохозяйственное производство района представлено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сельскохозяйственными предприятиями, 33 крестьянскими фермерскими хозяйствами и индивидуальными предпринимателями и 6 сельскохозяйственными кооперативами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31 декабря 2024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сельхозтоваропроизводителями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СНТ получено субсидий – 156,61  млн. руб. (областной бюджет – 106,74 млн. рублей, федеральный бюджет – 49,87 млн. руб.) по сравнению с 2023 годом снижение составило 54,6 %.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Фактический сбор урожая зерновых и зернобобовых культур составил      75 848  центнеров, картофеля -   601 325 центнеров, овощей открытого грунта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248 945 центнеров.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01.01.2025 по сравнению с аналогичной датой предыдущего года в хозяйствах всех сельхозпроизводителей поголовье крупного рогатого скота сократилось на 40,3%. Снижение погол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овья, в том числе и крупного рогатого скота, произошло в рамках мероприятий, направленных на предотвращение заноса и распространения заразного узелкового дерматита. Всего на территории Иркутского района в 11 эпизоотических очагах изъято КРС – 3 283 головы.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повлияло на производственные показатели. Производство молока уменьшилось на 33,5% и составило  19 541 тонн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инвест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иций в основной капитал за 2024 год составил 4 418,27 млн. руб., что на 23,4% выше уровня 2023 года в текущих ценах. Одним из источников объема инвестиций в основной капитал стали бюджетные средства – 2 520,64 млн. руб., что на 86,8% выше уровня 2023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Активная экономическая деятельность способствует пополнению консолидированного бюджета 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2024 года в консолидированный бюджет Иркутского района поступило доходов в сумме 10 819,1 млн. рублей. Это 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льше на 8,7% чем в 2023 году. В том числе: налоговых доходов в размере 2 509,8  млн. рублей,  (на 18,7% больше), неналоговых доходов в размере  0,461 млн. рублей (на 32,4% больше), безвозмездных поступлений в размере 7 697,8 млн. рублей  (на 4,4% больше).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консолидированного бюджета Иркутского района составили 10 819,6 млн.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сравнению с 2023 годом исполнены больше на 10,3%. На социальную сферу направлено  6 576,5 млн. рублей, на общегосударственные расходы - 1 616,3 млн. рублей, на жилищно-коммунальное хозяйство - 607,8 млн. рублей, на прочие расходы -  198,5 млн.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Расходные обязательства были включены в 15 муниципальных программ направленных на исполнение возложенных полномочий.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Коммунальное хозяйство.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подпрограммы «Чистая вода» государственной программы Иркутской области подпрограммы «Развитие жилищно-коммунального хозяйства и повышение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энергоэффективности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Иркутской области» осуществлено строительство 3,5 км сетей водоснабжения в п. Горячий Ключ. На данное мероприятие направлено 28,66 млн. рублей (в том числе 26,169 млн. рублей средства областного бюджета).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населения чистой питьевой водой установлена система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химводоочистки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объекте питьевого водоснабжения 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введены в эксплуатацию 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химводоподготовки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объектах водоснабжения в с. Никольск и с. Мамоны.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Теплоснабжение на территории Иркутского района обеспечивается 42 котельными, из которых 35 муниципальных  и 7 ведомственных. Протяженность тепловых сетей в 2-х трубном исполнении составляет 40,94 км.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надёжного теплоснабжения: проведен текущий ремонт тепловых  сетей и водопровода (спутником) 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Пивовариха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общей протяженностью  354   метра.  Направ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лено средств на реализацию мероприятия 9,013  млн. рублей; текущий ремонт тепловых  сетей  п. Малая Топка общей протяженностью  345    метров.  Направлено средств на реализацию 3,03 млн. рублей; ремонт запорно-регулирующей арматуры на тепловых сетях  в 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Карлук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Направлено средств на реализацию мероприятия 1,95 млн.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01.01.2025 в концессии находится 188 объектов коммунальной инфраструктуры,  16 -  в долгосрочной аренде. Заключение концессионных соглашений направлено на развитие государственно-частного партнерства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сокращение расходов районного бюджета.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инвестиционных средств концессионеров за 2024 год 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свыше 12 млн. рублей. В  рамках инвестиционной программы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инвесторами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котельное оборудование в п. Молодежный;  модернизирова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котла в котельной 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Карлук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модернизирова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тепловые сети в с.Хомутово.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Дорожное хозяйство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перечень автомобильных дорог по стоянию на 01.01.2025 включена 121 автомобильная дорога общей  протяженностью -  210,720 км. Из них 40,791 км с усовершенствованным покрытием (асфальт), 169,929 км  в гравийном исполнении.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мероприятия по содержанию автомобильных дорог общей  протяженностью,  на эти цели направлено более 11 млн. рублей. Свыше  112,53  млн. рублей направлено на ремонт дорожного покрытия, 8 подъездов  к СНТ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«Труженик», «Авиатор-4», «Политехник», «Межгорье»,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Ивушка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«Деметра», «Строитель», участок дороги Скиф-Ручейки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Продолжена работа по  паспортизации и постановке на  кадастровый учет автомобильных дорог.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проведения мероприятий по  содержанию дорог, приобретен колесный экскаватор-погрузчик с навесным оборудованием и  косилка-кусторез.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Разработана ПСД на капитальный ремонт автомобильных дорог «Подъезд к СНТ Минерал» Марковского МО и «Подъезд к п. Еловый» Ушаковского МО.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Экологическая безопасность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2024 году проведены мероприятия по очистке территории района от несанкционированных свалок ТКО.  Свалки ликвидированы на территории  муниципальных образований Иркутского района:  Никольского – 3 свалки объемом 1514,18 м3,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Усть-Кудинского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свалка объемом 120 м3,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Мамонского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свалка 487 кг,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Карлукского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свалка объемом 4 389  м3,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Балейского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 свалка объемом 7 722,19 м3,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Хомутовского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 свалок объемом 9 408,9 м3,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Ревякинского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 свалка объемом 5 754,05  м3, Гороховского - 7 свалок объемом 9 075,54  м3, Дзержинского – 1 свалка объемом 229 м3.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 ликвидацию несанкционированных свалок направлено  39, 14 млн.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организации 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ятельности по санитарной очистке территории района от несанкционированных свалок ТКО, выполнены геодезические работы по замеру объемов твердых коммунальных отходов 13 несанкционированных свалок на территориях 12 муниципальных образований Иркутского района.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Иркутском районе функционируют  73 муниципальных образовательных организации: 30  дошкольных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образовательных учреждений (кроме того 3 филиала); 8 начальных школ-детских садов; 7 начальных общеобразовательных школ;  26 средних общеобразовательных школ; 1 основная общеобразовательная школа; 1 образовательное учреждение дополнительного образования.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Квалификация педагогов высокая.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высшее профессиональное образование 49,6% педагогических работников детских садов и  71% педагогических работников общеобразовательных организаций.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содействия в решении проблемы кадрового дефицита педагогов, заключаются договоры о целевом обучении по образовательным программам среднего профессионального и высшего образования по направлениям подготовки образование и педагогические науки.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условиях договора о целевом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обучении в период с 2021 года по 2024 год было заключено 30 договоров о целевом обучении, из них: 14 по образовательным программам высшего педагогического образования; 16 по образовательным программам среднего профессионального педагогического образования.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 два специалиста, получивших среднее педагогическое образование на условиях договора о целевом обучении, трудоустроены в образовательные организации Иркутского района. В 2024 году были трудоустроены еще 9 специалистов.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обучается 27 студентов: 12 студентов, получающих среднее педагогическое образование, 15 студентов, получающих высшее педагогическое образование.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популяризации педагогической профессии,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функционируют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педагогические классы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Большереченской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Пивоваровской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Развивается и другая система предпрофессионального образования. Открыты четыре кадетских класса МЧС Иркутской области на базе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Хомутовской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 1, где 105 обучающихся 4-7-х классов осваивают дополнительные дисциплины, связанные с пожарно-спасательным делом.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сотрудничестве с Областным государственным бюджетным профессиональным образовательным учреждением «Иркутский базовый медицинский колледж» созданы медицинские классы в Марковской СОШ и Марковской  СОШ №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ежегодным увеличением численности населения, увеличивается и контингент  образовательных учреждений.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Детские сады посещают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6 374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детей, состоящих на учете и  нуждающихся в предоставлении места в дошкольной  образовательной организации по состоянию 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01.01.2025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составило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5 773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обучающихся в общеобразовательных организациях составила  25 880 человек. Контингент обучающихся общеобразовательных организаций ежегодно растет. К прошлому учебному году, увеличение контингента произошло на 8% (1 875 чел.).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решения вопроса обеспеченности местами детей в детских садах: построен детский сад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Усть-Кудинском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образовании на 145 мест; ведется строительство детского сада на 240 мест в р.п. Маркова; заключен муниципальный контракт на строительство детского сада в микрорайоне Березовый р.п. Маркова на 490 мест.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Открыта средняя школа в п. Дзержинск на 352 места. За счет благотворительных средств осуществлен монтаж быстровозводимых модульных (мобильных) зданий сборно-разборного типа для размещения начальной школы  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Еловка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Усть-Балейского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и филиала МОУ ИРМО «Бутырская СОШ» в д. Коты. Осуществлено благоустройство территорий МОУ ИРМО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Мамоновская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СОШ», МОУ ИРМО «Гороховская СОШ», МОУ ИРМО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Хомутовская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 2», МОУ ИРМО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Уриковская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года подготовлена проектно-сметная документация и  получено положительное заключение государственной экспертизы на капитальный ремонт, капитальный (выборочный) МОУ ИРМО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Листвянская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СОШ», МОУ ИРМО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Кудинская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СОШ».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увеличением числа школьников увеличилось на 12 количество утвержденных маршрутов по перевозке обучающ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ихся и составило 117. По состоянию на 31.12.2024 общее количество школьных автобусов составило 183 единицы. Количество перевозимых учеников по сравнению с аналогичным периодом прошлого учебного года увеличилось на 1 928 человек и составляет 16 559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Иркутский район предоставляет качественное обучение. Об это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свидетельствует тот факт, что почетным знаком «Золотая медаль «За высокие достижения в обучении» и федеральной медалью «За особые успехи в учении» I и II степени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получили 58 человек.  34 медали высшей пробы «За особые успехи в учении» и 24 – серебряные. Больше всего «золотых» и «серебряных» медалистов выпустила школа пос. Молодежный – 18 человек. В тройке лидеров также Марковская школа – 12 человек и школа села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Оёк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Продолжается развитие системы поддержки одаренных детей. Проведен муниципальный этап Всероссийской олимпиады школьников, в котором приняли участие 6 851 обучающи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ся, из них 1 800 обучающихся стали победителями и призерами. Участниками регионального этапа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ВсОШ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23 школьника. Призерам регионального этапа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ВсОШ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стали: по китайскому языку  учащийся 11-ого класса МОУ ИРМО «СОШ п. Молодежный», по истории 2 ученика  11-ого класса МОУ ИРМО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Кудинская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Ежегодно, с целью поддержки одаренных детей назначается  и выплачивается стипендия Мэра Иркутского района. 63 обучающихся общеобразовательных организаций в 2023/2024 учебном году стали стипендиатами.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и укрепление здоровья подрастающего поколения - одна из наиболее важных задач.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летний период  была  организована работа 6 детских оздоровительных лагерей (ДОЛ «Ласточка», ДОЛ «Байкал», ДЛО «Лазурный», ПОЛ «Эколог», ЛОЛ «Юный музыкант», ЛОЗД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Жердовка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палаточных лагер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(«CS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Camp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«Странник»).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лагерях с круглосуточным пребыванием организован отдых и оздоровление 4 078 детей, в том числе 41 ребенка с ограниченными возможностями здоровья.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базе 29 общеобразовательных организаций организована работа лагерей с дневным пребыванием детей  (далее – ЛДП). В  ЛДП был организован отдых и оздоровление 1 700 детей.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Организована трудовая занятость 248  несовершеннолетних  в возрасте от 14-ти до 18-ти лет совместно с Отделом Иркутского филиала ОГКУ «Кадровый центр Иркутской области» по специальности «подсобный рабочий».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развития трудового воспитания и организации досуговой деятельности организована работа более 3 000 обучающихся на пришкольных участках.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Культурно-досуговую деятельность на территории Иркутского района осуществляют 84 учреждения культуры: 46 культурно-досуговых учреждений, 29 библиотек (в том числе 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межпоселенческая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районная библиотека и 1 районная детская библиотека), 2 музея (с.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2 кинозала (с.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 Хомутово), 2 детских школы искусств и 3 детских музыкальных школы. Сумма расходов на культуру в консолидированном бюджете в 2024 году составила 483,3   млн.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Развивается материально-техническая база учреждений культуры.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 капитальный ремонт Дома культуры 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государственной программы «Комплексное развитие сельских территорий» построен  Дом культуры в с. Хомутово.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Продолжены работы по капитальному ремонту Дома культуры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с.Оек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проекта «Народные инициативы» реализованы следующие мероприятия: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Гороховское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- проведены текущие ремонты и приобретено оборудование в клубы 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Баруй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Горохово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Максимовсокое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 текущий ремонт подвального помещения МУК «КСЦ»;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Марковское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-  приобретено новое оборудование, инвентарь, мебель в МУП «КСК»; Смоленское МО - приобретено техническое оборудование, спортивный инвентарь, мебель, костюмы в МУК «КСК»;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Сосновоборское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проведен текущий ремонт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МУК Досуговый центр; Ушаковское МО - приобретена хоккейная форма для МКУ УМО «КСК» и приобретены материалы для изготовления сцены в 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Бурдаковка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Хомутовское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- приобретено новое оборудование, инвентарь в МУК «КСК»;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Ширяевское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- приобретены и установлены оконные и дверные группы МУК «ЦКС» в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д.Лыловщина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Охват населения библиотечным обслуживанием на 01.01.2025 составляет  9 % жителей района, количество пользователей составило   15,08  тыс. человек, число посещений 165,8 тыс. человек. Книговыдача оставила 230,3 тыс. книг. Библиотечный фонд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Межпоселенческой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районной библиотеки пополнен  452 экземплярами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повышения престижа библиотек и профессии «библиотекарь» впервые состоялся районный конкурс «Лучшая муниципальная библиотека Иркутского района». Было подано 11 заявок, призовой фонд соста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вил 100 тысяч рублей на комплектование библиотечного фонда. Участники представили свои библиотеки в разнообразных форматах: с помощью презентаций, видеороликов, выступлений и музыкальных композиций на народных инструментах. Победителем стала библиотека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Пивовариха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Ушаковского МО.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проведенных культурно-массовых мероприятий составило  8 435 ед. , в том числе  для  детей до 14 лет 3 733 ед. Число посещений культурно-массовых мероприятий составило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всего 768 020 ед. В том числе ежегодные: «Елка Мэра для детей района» и  «Елка Мэра для детей с ОВЗ», «Прием Мэра для одаренных детей», конкурсы: «Юный музыкант», «Музыкальные родники», «Теоретическая олимпиада», районный стипендиальный конкурс и другие.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рамках Года семьи, в Иркутском районе впервые был проведен фестиваль-марафон «Это у нас семейное», в котором приняли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семьи работников муниципальных учреждений культуры и участников клубных формирований. Цель фестиваля-марафона: сохранение, укрепление традиционных семейных ценностей, реализация творческого потенциала семей. Фестиваль-марафон состоял из 2 конкурсов: «Ма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рафон семейного успеха» - это участие семей в течение года в творческих конкурсах районного, областного, всероссийского и международного уровней и «Фестиваля семейных талантов», на который участники представили постановочный видеоролик по теме «Моя Семья».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Культура всегда была в районе на высоком уровне.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Ученики школ дополнительного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ДШИ и ДМШ достойно представляют Иркутский район на мероприятиях различного уровня: лауреатами 13 международных конкурсов стали 122 учащихся; лауреатами 7 всероссийских конкурсов - 31 учащийся; лауреатами 8 региональных конкурсов - 29 учащихся.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Стипендию Губернатора Иркутской области для одаренных детей и талантливой молодежи за достижения в области культуры и искусства в размере 50 тыс. рублей получил учащийся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Хомутовской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ДМШ. За подготовку стипендиата педагог из этой школ получил премию Губернатора Иркутской области в размере 25  тысяч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культуры участвовали в ежегодном областном конкурсе «Лучшее сельское учреждение и их работники». В номинации «Лучший работник муниципального культурно-досугового учреждения» стали специалисты «Социально-культурного спортивного комплекса»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(2 человека), «Социально-культурного комплекса»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Уриковского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(2 человека). Специалистам вручены денежные премии, в размере 50 тысяч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тысяч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жителей Иркутского района, систематически занимаются физической культурой и спортом.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Различными видами спорта занимаются около 30 тыс. жителей Иркутского района.  Наиболее популярными видами спорта являются спортивный туризм -23%; горнолыжный спорт – 12%; волейбол, легкая атлетика - 5% (на каждый вид спорта).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района расположено 236 спортивных сооруже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(с учетом объектов инфраструктуры приспособленной для занятий физкультурой и спортом),  в том числе муниципальных – 191; федеральных – 21;  субъекта – 4; 20 - других форм собственности. Единовременная пропускная способность составляет 5,7 тыс.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ведены в действие  спортивные объекты.  Многофункциональная спортивная площадка в Марковском МО. На стадионе в д. Ревякина установили футбольное поле с искусственным покрытием, четыре уличных тренажёра и детский игровой комплекс.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проекта «Народные инициативы»: в Марковском МО установлены: детская и спортивная площадки  возле детского сада в р.п. Маркова, 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Изумрудный,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Березовый;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Мамонском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в д. Малая Еланка оборудована спортивная площадка.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проекта «Есть решение»: реализован инициативный проект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Мамонском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по обустройству территории для  создания лыжной базы «Олимп» в с. Мамоны; в Молодежном МО реализован проект по организации спортивной площадки в  п. Молодежный;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Хомутовском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проведено устройство спортивной площадки, с оснащением видеонаблюдением и спортивным оборудованием.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районе функционирует Спортивная школа, которая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свою деятельность по двум направлениям: реализация мероприятий  всероссийского физкультурно-спортивного комплекса «Готов к труду и обороне» (ГТО)» и образовательная деятельность по дополнительным общеобразовательным программам в области физич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еской культуры и спорта. По состоянию на 01.01.2025  в спортивной школе обучалось 885 чел. Обучающиеся являются членами сборных команд Иркутской области: биатлон – 7 человек, баскетбол - 2 человека, пляжный волейбол - 2 человека, лыжные гонки – 2 человека.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01.01.2025 количество вновь зарегистрированных жителей Иркутского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АИС ГТО составило 2 068 человек, приняли участие в сдаче нормативов  ВФСК ГТО – 1 801 человек, из них несовершеннолетних  1 381 человек. Сдали на знаки ВФСК ГТО – 1 414 человек (1 381 несовершеннолетний) из них золото - 476, серебро - 522, бронза - 416.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Молодежная политика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Иркутском районе  проживает  48,8 тысяч  молодых людей в возрасте от 14-35 лет, что составляет около 30% от общего количества жителей.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участию в мероприятиях, предусмотренных в рамках реализации мероприятий муниципальной молодежной политики, в 2024 году привлекли свыше 20 тыс. человек, что составило 41% от общего количества молодежи.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молодежной политики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района проводились различные мероприятия. Проведен ежегодный  открытый культурно-спортивный слет молодежи под названием «Плечом к плечу». Мероприятие было посвящено Году семьи. В слете приняли участие 15 команд общей численностью более 500 чел.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Команда Иркутского района приняла участие  и стала  победителем регионального этапа Всероссийской военно-патриотической игры «Зарница 2. 0» в старшей возрастной категории (14-17 лет).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оенно-спортивная игра «Заря» для молодежи от 18 до 35 лет проведена   на базе «Иркутского аграрного техникума» отделение 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Действие игры максимально приближены к реальным боевым условиям.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Оёк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  ежегодный пятый областной «Марш-бросок» для  школьников и студентов. За победу состязались 11 команд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Приангарья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Жилищный вопрос остаётся одним из наиболее актуальных для молодых семей, в этой связи реализуется муниципальная подпрограмма «Молодым семьям – доступное жилье». В результате реализации мероприятий в 2024 году 36 семей улучшили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жилищные условия. На предоставление выплат семьям было направлено  33,79  млн.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Полный текст отчета Мэра Иркутского района о результатах его деятельности, деятельности администрации Иркутского района и иных подведомственных Мэру Иркутского района органов местного самоуправления за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размещен на официальном сайте Иркутского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819D-95CA-48FB-96B2-7F3177A3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АВ</dc:creator>
  <cp:lastModifiedBy>Редакция Ангарские огни</cp:lastModifiedBy>
  <cp:revision>38</cp:revision>
  <dcterms:created xsi:type="dcterms:W3CDTF">2025-05-22T06:43:00Z</dcterms:created>
  <dcterms:modified xsi:type="dcterms:W3CDTF">2025-06-05T06:57:50Z</dcterms:modified>
</cp:coreProperties>
</file>